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562"/>
        <w:jc w:val="left"/>
        <w:outlineLvl w:val="0"/>
        <w:rPr>
          <w:rFonts w:ascii="宋体" w:hAnsi="宋体" w:eastAsia="宋体" w:cs="宋体"/>
          <w:b/>
          <w:sz w:val="28"/>
          <w:szCs w:val="28"/>
          <w:lang w:bidi="ar"/>
        </w:rPr>
      </w:pPr>
      <w:bookmarkStart w:id="0" w:name="OLE_LINK6"/>
      <w:bookmarkStart w:id="24" w:name="_GoBack"/>
      <w:bookmarkEnd w:id="24"/>
      <w:r>
        <w:rPr>
          <w:rFonts w:hint="eastAsia" w:ascii="宋体" w:hAnsi="宋体" w:eastAsia="宋体" w:cs="宋体"/>
          <w:b/>
          <w:sz w:val="28"/>
          <w:szCs w:val="28"/>
          <w:lang w:bidi="ar"/>
        </w:rPr>
        <w:t>附件4：</w:t>
      </w:r>
    </w:p>
    <w:bookmarkEnd w:id="0"/>
    <w:p>
      <w:pPr>
        <w:spacing w:line="400" w:lineRule="exact"/>
        <w:ind w:firstLine="562"/>
        <w:jc w:val="center"/>
        <w:outlineLvl w:val="0"/>
        <w:rPr>
          <w:rFonts w:ascii="宋体" w:hAnsi="宋体" w:eastAsia="宋体" w:cs="宋体"/>
          <w:b/>
          <w:sz w:val="28"/>
          <w:szCs w:val="28"/>
        </w:rPr>
      </w:pPr>
      <w:r>
        <w:rPr>
          <w:rFonts w:hint="eastAsia" w:ascii="宋体" w:hAnsi="宋体" w:eastAsia="宋体" w:cs="宋体"/>
          <w:b/>
          <w:sz w:val="28"/>
          <w:szCs w:val="28"/>
          <w:lang w:bidi="ar"/>
        </w:rPr>
        <w:t>合同主要条款</w:t>
      </w:r>
    </w:p>
    <w:p>
      <w:pPr>
        <w:widowControl/>
        <w:spacing w:line="400" w:lineRule="exact"/>
        <w:ind w:firstLine="480"/>
        <w:jc w:val="left"/>
        <w:textAlignment w:val="center"/>
        <w:rPr>
          <w:rFonts w:ascii="宋体" w:hAnsi="宋体" w:eastAsia="宋体" w:cs="宋体"/>
          <w:color w:val="000000"/>
          <w:kern w:val="0"/>
          <w:sz w:val="24"/>
          <w:szCs w:val="18"/>
          <w:lang w:bidi="ar"/>
        </w:rPr>
      </w:pPr>
      <w:bookmarkStart w:id="1" w:name="_Toc29156"/>
      <w:bookmarkStart w:id="2" w:name="_Toc446664699"/>
      <w:bookmarkStart w:id="3" w:name="_Toc179632628"/>
      <w:bookmarkStart w:id="4" w:name="_Toc347767521"/>
      <w:bookmarkStart w:id="5" w:name="_Toc292201441"/>
      <w:bookmarkStart w:id="6" w:name="_Toc347767343"/>
      <w:bookmarkStart w:id="7" w:name="_Toc238797616"/>
      <w:bookmarkStart w:id="8" w:name="_Toc2476"/>
      <w:bookmarkStart w:id="9" w:name="_Toc22021"/>
      <w:bookmarkStart w:id="10" w:name="_Toc23390"/>
      <w:bookmarkStart w:id="11" w:name="_Toc238552261"/>
      <w:bookmarkStart w:id="12" w:name="_Toc292635476"/>
      <w:bookmarkStart w:id="13" w:name="_Toc347766845"/>
      <w:bookmarkStart w:id="14" w:name="_Toc11392"/>
      <w:bookmarkStart w:id="15" w:name="_Toc323"/>
      <w:r>
        <w:rPr>
          <w:rFonts w:hint="eastAsia" w:ascii="宋体" w:hAnsi="宋体" w:eastAsia="宋体" w:cs="宋体"/>
          <w:color w:val="000000"/>
          <w:kern w:val="0"/>
          <w:sz w:val="24"/>
          <w:szCs w:val="18"/>
          <w:lang w:bidi="ar"/>
        </w:rPr>
        <w:t>甲方（发包人）：黄石经开投供应链管理有限公司</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乙方（承包人）：  </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乙方项目经理： </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依据《中华人民共和国招标投标法》和《中华人民共和国民法典》的规定，双方本着平等互利的原则，按下述条款签署本合同。</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1、定义</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本合同下列术语应解释为： </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1.1“合同”系指买卖双方自愿签署并达成的、载明双方权利义务的协议，包括所有的附件、附录、补充协议、通知书、确认书等以及上述文件所提到的构成合同的所有文件。 </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1.2“合同价”系指根据合同规定，乙方在正确地完全履行合同义务后甲方应支付给乙方的价款。 </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1.3“货物”系指乙方根据合同规定须向甲方提供的保证正常运行的一切设备、机械、图纸、装箱资料及其他材料。 </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1.4“服务”系指根据合同规定乙方承担与供货有关的辅助服务，如包装、运输、保险以及其他的伴随服务，例如安装、调试、提供技术援助、培训和合同中规定乙方应承担的其他义务。 </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1.5“项目现场”系指本合同项下甲方指定的货物送达、安装、运行的场所。 </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1.6“验收机构”系指双方依据合同规定或国家相关规定的程序和条件组成验收小组，确认合同项下的货物符合技术规范的要求。</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2、合同范围及价款</w:t>
      </w:r>
    </w:p>
    <w:p>
      <w:pPr>
        <w:widowControl/>
        <w:spacing w:line="400" w:lineRule="exact"/>
        <w:ind w:firstLine="480"/>
        <w:jc w:val="left"/>
        <w:textAlignment w:val="center"/>
      </w:pPr>
      <w:r>
        <w:rPr>
          <w:rFonts w:hint="eastAsia" w:ascii="宋体" w:hAnsi="宋体" w:eastAsia="宋体" w:cs="宋体"/>
          <w:color w:val="000000"/>
          <w:kern w:val="0"/>
          <w:sz w:val="24"/>
          <w:szCs w:val="18"/>
          <w:lang w:bidi="ar"/>
        </w:rPr>
        <w:t>2.1 项目名称：黄石市充电场站建设项目新港码头重卡充电场站充电设备采购项目</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2.2 工期要求：本合同签订之日起     日历天。</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2.3 合同范围：供货商将按本招标文件的各条款履行合同，完成合同所需设备的供货、工厂测试、油漆、包装、运输、卸货、安装、调试、工程完工前设备保管、试运行、质保、保修等工作，同时与相关的水、气、电等报装及试运行期间能耗费用都已包含在合同内，不再额外计取。乙方需负责将充电设备接入甲方的黄石智慧停车运营平台，实现设备与平台间的互联互通或直联直通，满足运营平台的管理服务要求，该项工作乙方不得收取开发费用；质保期内提供全部充电设备的物联网服务费、网络报装费。</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2.4质量要求：合格，达到国家验收的相关技术标准。</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2.6 交货地点： 按甲方指定地点。</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2.7甲乙双方必须遵守《中华人民共和国合同法》，严格履行各自的全部责任；</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2.8下列文件是构成本合同不可分割的部分：</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1）设备名称、主要材料的材质，制造厂家、型号规格、数量、单价、总价（详见投标文件）；</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2）本合同买、卖双方必须遵守《中华人民共和国合同法》，严格履行各自的全部责任；</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3）招标文件；</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4）对招标文件以书面形式进行的澄清、修改及补充；</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5）投标文件</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6）评标过程中通过询标中标人所做的书面承诺；</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7）投标报价表；</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8）中标通知书；</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9）合同条款</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10）双方有关洽商、变更等书面协议或文件视为本合同的组成部分。</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2.10乙方保证全部按照合同规定，向甲方提供上述合格的设备及服务；</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2.11质保期：自甲方代表签署合同货物试运行验收合格证明（必要时甲方有权委托第三方检测机构检测）之日起按国家规定执行且不低于     个月。</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2.12合同价款形式：综合单价合同</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2.13 甲方派驻代表为           ，乙方派驻项目经理    ，乙方不得擅自更换项目经理。</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3.技术要求及服务</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3.1乙方交付的设备的技术规格应与招标文件规定的技术规格以及所附“规格性能偏离表”（如果有的话）相一致；</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3.2乙方应保证甲方在使用其设备、服务及其它任何部分时,不会受到第三方关于侵犯其专利权、商标权或工业设计权等的指控。任何第三方如果提出侵权指控，乙方须负一切法律责任，并承担由此发生的一切费用，甲方不负任何责任。</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3.3乙方准备采购的设备进场前应将设备技术参数提交监理和甲方审核，符合招标文件技术要求后方可进场，否则甲方可要求退货，乙方承担一切后果。</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3.3技术文件：乙方应在供货的同时向甲方提供有关合同执行的技术文件。乙方也需提供设备的预埋件图纸及甲方要求的技术图纸。文件移交份数、时间、文件使用语言应依照合同或甲方要求执行。</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技术培训：</w:t>
      </w:r>
      <w:r>
        <w:rPr>
          <w:rFonts w:hint="eastAsia" w:ascii="宋体" w:hAnsi="宋体" w:eastAsia="宋体" w:cs="宋体"/>
          <w:color w:val="000000"/>
          <w:kern w:val="0"/>
          <w:sz w:val="24"/>
          <w:szCs w:val="18"/>
          <w:lang w:bidi="ar"/>
        </w:rPr>
        <w:fldChar w:fldCharType="begin"/>
      </w:r>
      <w:r>
        <w:rPr>
          <w:rFonts w:hint="eastAsia" w:ascii="宋体" w:hAnsi="宋体" w:eastAsia="宋体" w:cs="宋体"/>
          <w:color w:val="000000"/>
          <w:kern w:val="0"/>
          <w:sz w:val="24"/>
          <w:szCs w:val="18"/>
          <w:lang w:bidi="ar"/>
        </w:rPr>
        <w:instrText xml:space="preserve"> EQ \o\ac(</w:instrText>
      </w:r>
      <w:r>
        <w:rPr>
          <w:rFonts w:hint="eastAsia" w:ascii="宋体" w:hAnsi="宋体" w:eastAsia="宋体" w:cs="宋体"/>
          <w:color w:val="000000"/>
          <w:kern w:val="0"/>
          <w:position w:val="-4"/>
          <w:sz w:val="36"/>
          <w:szCs w:val="18"/>
          <w:lang w:bidi="ar"/>
        </w:rPr>
        <w:instrText xml:space="preserve">○</w:instrText>
      </w:r>
      <w:r>
        <w:rPr>
          <w:rFonts w:hint="eastAsia" w:ascii="宋体" w:hAnsi="宋体" w:eastAsia="宋体" w:cs="宋体"/>
          <w:color w:val="000000"/>
          <w:kern w:val="0"/>
          <w:sz w:val="24"/>
          <w:szCs w:val="18"/>
          <w:lang w:bidi="ar"/>
        </w:rPr>
        <w:instrText xml:space="preserve">,1)</w:instrText>
      </w:r>
      <w:r>
        <w:rPr>
          <w:rFonts w:hint="eastAsia" w:ascii="宋体" w:hAnsi="宋体" w:eastAsia="宋体" w:cs="宋体"/>
          <w:color w:val="000000"/>
          <w:kern w:val="0"/>
          <w:sz w:val="24"/>
          <w:szCs w:val="18"/>
          <w:lang w:bidi="ar"/>
        </w:rPr>
        <w:fldChar w:fldCharType="end"/>
      </w:r>
      <w:r>
        <w:rPr>
          <w:rFonts w:hint="eastAsia" w:ascii="宋体" w:hAnsi="宋体" w:eastAsia="宋体" w:cs="宋体"/>
          <w:color w:val="000000"/>
          <w:kern w:val="0"/>
          <w:sz w:val="24"/>
          <w:szCs w:val="18"/>
          <w:lang w:bidi="ar"/>
        </w:rPr>
        <w:t>乙方负责提供现场操作、维修培训方案及一式六份培训资料，招标文件中另有更详细要求的遵从招标文件规定。</w:t>
      </w:r>
      <w:r>
        <w:rPr>
          <w:rFonts w:hint="eastAsia" w:ascii="宋体" w:hAnsi="宋体" w:eastAsia="宋体" w:cs="宋体"/>
          <w:color w:val="000000"/>
          <w:kern w:val="0"/>
          <w:sz w:val="24"/>
          <w:szCs w:val="18"/>
          <w:lang w:bidi="ar"/>
        </w:rPr>
        <w:fldChar w:fldCharType="begin"/>
      </w:r>
      <w:r>
        <w:rPr>
          <w:rFonts w:hint="eastAsia" w:ascii="宋体" w:hAnsi="宋体" w:eastAsia="宋体" w:cs="宋体"/>
          <w:color w:val="000000"/>
          <w:kern w:val="0"/>
          <w:sz w:val="24"/>
          <w:szCs w:val="18"/>
          <w:lang w:bidi="ar"/>
        </w:rPr>
        <w:instrText xml:space="preserve"> EQ \o\ac(</w:instrText>
      </w:r>
      <w:r>
        <w:rPr>
          <w:rFonts w:hint="eastAsia" w:ascii="宋体" w:hAnsi="宋体" w:eastAsia="宋体" w:cs="宋体"/>
          <w:color w:val="000000"/>
          <w:kern w:val="0"/>
          <w:position w:val="-4"/>
          <w:sz w:val="36"/>
          <w:szCs w:val="18"/>
          <w:lang w:bidi="ar"/>
        </w:rPr>
        <w:instrText xml:space="preserve">○</w:instrText>
      </w:r>
      <w:r>
        <w:rPr>
          <w:rFonts w:hint="eastAsia" w:ascii="宋体" w:hAnsi="宋体" w:eastAsia="宋体" w:cs="宋体"/>
          <w:color w:val="000000"/>
          <w:kern w:val="0"/>
          <w:sz w:val="24"/>
          <w:szCs w:val="18"/>
          <w:lang w:bidi="ar"/>
        </w:rPr>
        <w:instrText xml:space="preserve">,2)</w:instrText>
      </w:r>
      <w:r>
        <w:rPr>
          <w:rFonts w:hint="eastAsia" w:ascii="宋体" w:hAnsi="宋体" w:eastAsia="宋体" w:cs="宋体"/>
          <w:color w:val="000000"/>
          <w:kern w:val="0"/>
          <w:sz w:val="24"/>
          <w:szCs w:val="18"/>
          <w:lang w:bidi="ar"/>
        </w:rPr>
        <w:fldChar w:fldCharType="end"/>
      </w:r>
      <w:r>
        <w:rPr>
          <w:rFonts w:hint="eastAsia" w:ascii="宋体" w:hAnsi="宋体" w:eastAsia="宋体" w:cs="宋体"/>
          <w:color w:val="000000"/>
          <w:kern w:val="0"/>
          <w:sz w:val="24"/>
          <w:szCs w:val="18"/>
          <w:lang w:bidi="ar"/>
        </w:rPr>
        <w:t>在满足调试条件下，由乙方具体负责对买方受训人员进行不少于一周的相关培训（所有大型及核心设备均需专门培训），并对通过受训人员颁发培训合格证明。</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3.4验收</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本合同所指验收包括现场检验、临时验收和最终验收，验收过程产生的费用由乙方承担；</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到货时，由乙方提供进行现场检验的方案，该方案必须符合本合同所规定之技术规格和技术规范；</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乙方负责货物的安装、调试（含单机调试、联机调试和试运行），确保在合同项下货物全部完成安装调试后，实现出水连续稳定达标三月以上（负荷80%以上）；</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乙方应积极配合甲方进行临时验收，直到设备最终验收合格；</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调试、试运行至验收过程中使用设备耗材等相关费用需由乙方负责；</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最终验收符合要求后，双方签署最终验收合格证书一式二份，双方各执一份。</w:t>
      </w:r>
    </w:p>
    <w:p>
      <w:pPr>
        <w:widowControl/>
        <w:spacing w:line="400" w:lineRule="exact"/>
        <w:ind w:firstLine="480"/>
        <w:jc w:val="left"/>
        <w:textAlignment w:val="center"/>
        <w:rPr>
          <w:rFonts w:ascii="宋体" w:hAnsi="宋体" w:eastAsia="宋体" w:cs="宋体"/>
          <w:color w:val="000000"/>
          <w:kern w:val="0"/>
          <w:sz w:val="24"/>
          <w:szCs w:val="18"/>
          <w:highlight w:val="none"/>
          <w:lang w:bidi="ar"/>
        </w:rPr>
      </w:pPr>
      <w:r>
        <w:rPr>
          <w:rFonts w:ascii="宋体" w:hAnsi="宋体" w:eastAsia="宋体" w:cs="宋体"/>
          <w:color w:val="000000"/>
          <w:kern w:val="0"/>
          <w:sz w:val="24"/>
          <w:szCs w:val="18"/>
          <w:highlight w:val="none"/>
          <w:lang w:bidi="ar"/>
        </w:rPr>
        <w:t>4.付款方式</w:t>
      </w:r>
    </w:p>
    <w:p>
      <w:pPr>
        <w:widowControl/>
        <w:spacing w:line="400" w:lineRule="exact"/>
        <w:ind w:firstLine="480"/>
        <w:jc w:val="left"/>
        <w:textAlignment w:val="center"/>
        <w:rPr>
          <w:rFonts w:ascii="宋体" w:hAnsi="宋体" w:eastAsia="宋体" w:cs="宋体"/>
          <w:color w:val="000000"/>
          <w:kern w:val="0"/>
          <w:sz w:val="24"/>
          <w:szCs w:val="18"/>
          <w:highlight w:val="yellow"/>
          <w:lang w:bidi="ar"/>
        </w:rPr>
      </w:pPr>
      <w:r>
        <w:rPr>
          <w:rFonts w:hint="eastAsia" w:ascii="宋体" w:hAnsi="宋体" w:eastAsia="宋体" w:cs="宋体"/>
          <w:color w:val="000000"/>
          <w:kern w:val="0"/>
          <w:sz w:val="24"/>
          <w:szCs w:val="18"/>
          <w:u w:val="single"/>
          <w:lang w:bidi="ar"/>
        </w:rPr>
        <w:t>合同签订完成，货物到场安装调试完成后支付当批货款的</w:t>
      </w:r>
      <w:r>
        <w:rPr>
          <w:rFonts w:ascii="宋体" w:hAnsi="宋体" w:eastAsia="宋体" w:cs="宋体"/>
          <w:color w:val="000000"/>
          <w:kern w:val="0"/>
          <w:sz w:val="24"/>
          <w:szCs w:val="18"/>
          <w:u w:val="single"/>
          <w:lang w:bidi="ar"/>
        </w:rPr>
        <w:t>60%</w:t>
      </w:r>
      <w:r>
        <w:rPr>
          <w:rFonts w:hint="eastAsia" w:ascii="宋体" w:hAnsi="宋体" w:eastAsia="宋体" w:cs="宋体"/>
          <w:color w:val="000000"/>
          <w:kern w:val="0"/>
          <w:sz w:val="24"/>
          <w:szCs w:val="18"/>
          <w:u w:val="single"/>
          <w:lang w:bidi="ar"/>
        </w:rPr>
        <w:t>；结算审计完成后无质量问题，招标人向中标人支付至结算审计金额的</w:t>
      </w:r>
      <w:r>
        <w:rPr>
          <w:rFonts w:ascii="宋体" w:hAnsi="宋体" w:eastAsia="宋体" w:cs="宋体"/>
          <w:color w:val="000000"/>
          <w:kern w:val="0"/>
          <w:sz w:val="24"/>
          <w:szCs w:val="18"/>
          <w:u w:val="single"/>
          <w:lang w:bidi="ar"/>
        </w:rPr>
        <w:t>98.5%</w:t>
      </w:r>
      <w:r>
        <w:rPr>
          <w:rFonts w:hint="eastAsia" w:ascii="宋体" w:hAnsi="宋体" w:eastAsia="宋体" w:cs="宋体"/>
          <w:color w:val="000000"/>
          <w:kern w:val="0"/>
          <w:sz w:val="24"/>
          <w:szCs w:val="18"/>
          <w:u w:val="single"/>
          <w:lang w:bidi="ar"/>
        </w:rPr>
        <w:t>；剩余</w:t>
      </w:r>
      <w:r>
        <w:rPr>
          <w:rFonts w:ascii="宋体" w:hAnsi="宋体" w:eastAsia="宋体" w:cs="宋体"/>
          <w:color w:val="000000"/>
          <w:kern w:val="0"/>
          <w:sz w:val="24"/>
          <w:szCs w:val="18"/>
          <w:u w:val="single"/>
          <w:lang w:bidi="ar"/>
        </w:rPr>
        <w:t>1.5%作为质保金待质保期满无质量问题后无</w:t>
      </w:r>
      <w:r>
        <w:rPr>
          <w:rFonts w:hint="eastAsia" w:ascii="宋体" w:hAnsi="宋体" w:eastAsia="宋体" w:cs="宋体"/>
          <w:color w:val="000000"/>
          <w:kern w:val="0"/>
          <w:sz w:val="24"/>
          <w:szCs w:val="18"/>
          <w:u w:val="single"/>
          <w:lang w:bidi="ar"/>
        </w:rPr>
        <w:t>息支付</w:t>
      </w:r>
      <w:r>
        <w:rPr>
          <w:rFonts w:hint="eastAsia" w:ascii="宋体" w:hAnsi="宋体" w:eastAsia="宋体" w:cs="宋体"/>
          <w:color w:val="000000"/>
          <w:kern w:val="0"/>
          <w:sz w:val="24"/>
          <w:szCs w:val="18"/>
          <w:lang w:bidi="ar"/>
        </w:rPr>
        <w:t>。</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5.包装与运输</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5.1除合同另有规定外，乙方供应的设备，均应按标准保护措施进行包装。这类包装应适应于远距离运输、防潮、防震、防锈、多次搬运装卸，以确保设备完好无损运抵指定现场。由于乙方包装、运输不善所造成的任何损失，由乙方负责；</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5.2每一包装箱内应附一份详细的装箱清单和质量合格证书；</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5.3每一包装箱应明显标明下述字样：</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收货人：                         合同号：</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到站：                           设备名称：</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毛重/净重：                      尺寸(长×宽×高)：</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5.4如果每件包装箱重量达到或超过2吨， 乙方应在每件包装箱上标明“重心”、“吊装点”，以便装卸和搬运。根据设备的特点和运输的不同要求，乙方应在包装箱上标注“防潮”、“小心轻放”、“请勿倒置”等字样；</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5.5 到货后，设备安装调试验收前的仓储、保管、二次转运等工作及费用由乙方负责。</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5.5乙方可选择合适的运输方式，并负责设备的发运、保险、装卸工作及费用。</w:t>
      </w:r>
    </w:p>
    <w:p>
      <w:pPr>
        <w:widowControl/>
        <w:spacing w:line="400" w:lineRule="exact"/>
        <w:ind w:firstLine="480"/>
        <w:jc w:val="left"/>
        <w:textAlignment w:val="center"/>
        <w:rPr>
          <w:rFonts w:ascii="宋体" w:hAnsi="宋体" w:eastAsia="宋体" w:cs="宋体"/>
          <w:color w:val="000000"/>
          <w:kern w:val="0"/>
          <w:sz w:val="24"/>
          <w:szCs w:val="18"/>
          <w:lang w:bidi="ar"/>
        </w:rPr>
      </w:pPr>
      <w:bookmarkStart w:id="16" w:name="_Toc330544692"/>
      <w:bookmarkStart w:id="17" w:name="_Toc330545023"/>
      <w:r>
        <w:rPr>
          <w:rFonts w:hint="eastAsia" w:ascii="宋体" w:hAnsi="宋体" w:eastAsia="宋体" w:cs="宋体"/>
          <w:color w:val="000000"/>
          <w:kern w:val="0"/>
          <w:sz w:val="24"/>
          <w:szCs w:val="18"/>
          <w:lang w:bidi="ar"/>
        </w:rPr>
        <w:t>6、质量索赔</w:t>
      </w:r>
      <w:bookmarkEnd w:id="16"/>
      <w:bookmarkEnd w:id="17"/>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6.1在合同有效期内,如果乙方对设备本身的问题负有责任并且维修两次也不能满足合同约定的要求，甲方提出索赔,乙方应按照甲方同意的下列一种或多种方式解决索赔事宜:</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1）乙方同意退货并用合同规定的货币将货款退还给甲方,并承担由此发生的一切损失和费用。</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2）根据货物的低劣程度、损坏程度以及甲方遭受损失程度，经甲乙双方商定降低货物的价格。</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3）用符合合同规定的规格、质量和性能要求的新零件、部件和设备，更换有缺陷的部分。乙方应承担一切费用和风险并负担甲方承受的一切损失费用，并应延长修补或更换部件的质量保证期。</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6.2 在质保期内，若因设备原因导致产品不合格，因此导致的行政处罚罚款需由乙方承担。</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6.3  如果乙方没能按照合同规定的时间交货和提供服务,乙方将受到以下处罚及索赔，并且不影响乙方在合同条款的其他权力：</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合同误期赔偿费：每逾期一天，按相当于合同价的2‰作为违约金，直至交货或提供服务为止。误期赔偿费的最高限额为合同价格的5% 。一旦达到误期赔偿费的最高限额，甲方可根据合同条款规定解除合同，乙方应返还甲方已支付的货款，并支付违约金伍拾万元。</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6.4如乙方提供的设备、材料有缺陷或由于乙方技术人员的指导错误或乙方提供的技术资料、图纸、说明书的错误造成甲方设备、材料损坏，乙方应采取必要的补救措施，并赔偿甲方的直接损失。</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6.5 如甲方在督造过程中发现设备制造不符合相关技术要求，督造人员将有关影像资料及文字说明发回甲方处，经共同认定确不符合技术要求的，甲方将通知督造人员在现场要求制造商返工，直至满足合同及合同中的技术要求，由此所造成的一切损失由乙方承担，制造商返工不作为延长工期的理由。</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6.6 乙方所供设备、材料等在运输中如发生损坏，乙方必须负责将其修复以达到合同要求的全新设备，如果需要返回原制造商处修理或调换，其费用由乙方负责，且不得影响甲方购买设备的正常运营，否则影响运行期间，每日按5000元计算违约金。</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6.7乙方如未按照合同中的要求提供技术资料的，甲方将向乙方发函要求10天内将资料补充完整，到期仍未补充完整的，将按照合同误期赔偿办法（第6.5条）进行处罚。</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6.8对于合同中规定的货物及服务，如乙方在制造、供货、服务、验收过程中发现与合同中要求、投标单价、工程整体质量等级、整体档次不符，乙方应予以更换，并赔偿由此带来的全部损失；在设备制造供货及服务过程中，乙方提前告知甲方并经甲方同意的情况除外。</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6.9在招标文件、合同、设计联络会议纪要等与供货及服务有关的文件中，对货物及服务的细则未具体约定的，乙方应做到如下三点：</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1）在货物制造或服务提供前，主动与甲方联系将货物及服务的细则发于甲方确认，取得甲方同意后方可实施。</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2）应本着质量第一、诚实守信的原则提供与同批货物档次相当的货物及服务。</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3）如在项目实施阶段所供货物及服务不能达到招标文件中关于质量与工期等方面要求的，乙方应与甲方协商解决，积极配合调换货物或整改服务，否则甲方将对乙方的行为予以记录，降低对乙方的评价。甲方有权自行购买货物予以调换或另行组织施工队伍提供整改服务，所产生的费用甲方从应付给乙方的货款中予以抵减。</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6.10 设备安装、调试、验收、质保期开始前的维修，由甲方设备材料处负责通知，如因乙方原因未按时到厂，甲方将从要求修复的日期起计算合同误期时间，由此产生的误期赔偿费由乙方承担。</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6.11 若乙方派出的技术服务人员素质或专业水平无法保证工程实施的质量和进度，甲方有权要求乙方于24小时内更换技术人员，直至满足工程质量和进度要求，乙方需承担由此造成的全部损失。若更换的技术人员到位不及时或更换2次技术人员仍无法满足工程要求，甲方将扣除乙方履约保证金的1%作为赔偿。</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6.12在设备质保期内，若因设备设计、材质、制造等原因造成设备无法正常运行或无法满足工艺运行要求，乙方需在收到甲方函件15日内妥善解决问题，否则，甲方将从要求修复的日期起计算合同误期时间，由此产生的误期赔偿费由乙方承担。设备完成修复并达到工艺运行要求后，甲方将从该设备修复之日起重新计算该设备的质保期，如自乙方收到甲方函件60日内未能妥善解决问题，除乙方需赔偿甲方误期赔偿费外，甲方将扣除全额质量保证金不再支付。</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6.13在设备质保期内，若因乙方原因未及时有效的提供售后服务，每接到1次甲方技术设备科的书面投诉，甲方设备材料处核实确属乙方原因后，根据影响程度，将以书面形式通知乙方延长设备的质保期15-30天。</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6.14在质量保证期内，乙方应保证在备件、易耗件易损件的补充供应，并承担由于补充供应而引起的采购、运输费、保险费、海关进口环节税。</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6.15若设备最终验收不合格，甲方将扣除质量保证金作为赔偿。并且，甲方将对乙方及设备制造商的交易行为及验收结果记录在案，如实上报其行甲方主管部门备案并列入甲方的服务黑名单。今后，该乙方不得参与甲方的其他项目。</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7、安全及进度</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7.1 乙方应认真做好职业健康安全与环境管理，严格落实安全文明施工，合同履行期间所发生的一切安全与环保事故均由乙方负责，乙方同时承担事故所发生的一切费用。</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7.2乙方应严格按照工期要求编制设备供货及安装施工方案（需明确机械台班及施工人员），按照监理和业主审核后的进度计划执行。除双方认可的不可抗力影响外，未按照施工方案安排机械和人员的，或进度计划横道图中的关键线路上的工序每延期三天的，甲方可对乙方约谈，乙方应主动配合并积极采取措施；关键线路上的工序每延期五天及以上的，甲方可处每天1000-5000元的处罚，并同时要求乙方立即采取补救措施。合同误期赔偿费根据6.3条执行。</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8、保险</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8.1货物到达交货地点之前的所有保险费用和派往甲方进行服务的人员的人身保险及其他险种的保险费用，均由乙方负责。</w:t>
      </w:r>
    </w:p>
    <w:p>
      <w:pPr>
        <w:widowControl/>
        <w:spacing w:line="400" w:lineRule="exact"/>
        <w:ind w:firstLine="480"/>
        <w:jc w:val="left"/>
        <w:textAlignment w:val="center"/>
        <w:rPr>
          <w:rFonts w:ascii="宋体" w:hAnsi="宋体" w:eastAsia="宋体" w:cs="宋体"/>
          <w:color w:val="000000"/>
          <w:kern w:val="0"/>
          <w:sz w:val="24"/>
          <w:szCs w:val="18"/>
          <w:lang w:bidi="ar"/>
        </w:rPr>
      </w:pPr>
      <w:bookmarkStart w:id="18" w:name="_Toc330544693"/>
      <w:bookmarkStart w:id="19" w:name="_Toc330545024"/>
      <w:r>
        <w:rPr>
          <w:rFonts w:hint="eastAsia" w:ascii="宋体" w:hAnsi="宋体" w:eastAsia="宋体" w:cs="宋体"/>
          <w:color w:val="000000"/>
          <w:kern w:val="0"/>
          <w:sz w:val="24"/>
          <w:szCs w:val="18"/>
          <w:lang w:bidi="ar"/>
        </w:rPr>
        <w:t>9、产权与风险转移</w:t>
      </w:r>
      <w:bookmarkEnd w:id="18"/>
      <w:bookmarkEnd w:id="19"/>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9.1本项目所购全部设备在工程竣工验收前，设备保管由乙方负责。</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9.2在拒收情况下，或者解除合同的，货物毁损、灭失的风险由乙方承担。</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9.3乙方交由承运人运输、保存的在途货物，毁损、灭失的风险由乙方承担。</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10、不可抗力</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10.1不可抗力是指不可预见、不可避免和无法克服的事件，这些事件包括但不限于：战争、严重火灾、洪水、台风、地震等。</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10.2在不可抗力事件发生后48小时内，乙方应以书面形式将不可抗力的情况和原因及时通知甲方，除甲方书面另行要求外，甲方应尽实际可能继续履行合同，以及寻求可能的方案履行不受不可抗力影响的其他事项。</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10.3如果不可抗力事件持续时间超过120天，双方应在合理的时间里友好协商进一步履行合同的协议。</w:t>
      </w:r>
    </w:p>
    <w:p>
      <w:pPr>
        <w:widowControl/>
        <w:spacing w:line="400" w:lineRule="exact"/>
        <w:ind w:firstLine="480"/>
        <w:jc w:val="left"/>
        <w:textAlignment w:val="center"/>
        <w:rPr>
          <w:rFonts w:ascii="宋体" w:hAnsi="宋体" w:eastAsia="宋体" w:cs="宋体"/>
          <w:color w:val="000000"/>
          <w:kern w:val="0"/>
          <w:sz w:val="24"/>
          <w:szCs w:val="18"/>
          <w:lang w:bidi="ar"/>
        </w:rPr>
      </w:pPr>
      <w:bookmarkStart w:id="20" w:name="_Toc330545025"/>
      <w:bookmarkStart w:id="21" w:name="_Toc330544694"/>
      <w:r>
        <w:rPr>
          <w:rFonts w:hint="eastAsia" w:ascii="宋体" w:hAnsi="宋体" w:eastAsia="宋体" w:cs="宋体"/>
          <w:color w:val="000000"/>
          <w:kern w:val="0"/>
          <w:sz w:val="24"/>
          <w:szCs w:val="18"/>
          <w:lang w:bidi="ar"/>
        </w:rPr>
        <w:t>11、违约责任</w:t>
      </w:r>
      <w:bookmarkEnd w:id="20"/>
      <w:bookmarkEnd w:id="21"/>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11.1乙方所提交产品种类、型号、规格、质量不符合规定的，按甲方要求负责包换、包修或退货，并承担由此而对甲方造成的实际损失。</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11.2因产品设计不合理造成损失的，乙方应负责赔偿甲方因此所受的实际损失。</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11.3非甲方原因，乙方供货或服务不能履约的，违约金按供货价款的10%扣除。</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11.4乙方未履行或未全部履行招标文件技术规格书中带“★”部分的内容，甲方可要求退换货并处1-5万元/条的罚款。</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11.5乙方因严格按照投标文件中组织机构形式和项目经理等主要人员组成项目部，并严格执行考勤和请假制度，项目经理、技术负责人、五大员等主要人员每月缺勤天数不得超过2日，否则甲方有权按1000元/天*人进行处罚，罚款可从进度款中扣除。</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11.6 乙方应在合同签订之日起15天内向甲方提供履约保函，</w:t>
      </w:r>
      <w:bookmarkStart w:id="22" w:name="_Toc330545026"/>
      <w:bookmarkStart w:id="23" w:name="_Toc330544695"/>
      <w:r>
        <w:rPr>
          <w:rFonts w:hint="eastAsia" w:ascii="宋体" w:hAnsi="宋体" w:eastAsia="宋体" w:cs="宋体"/>
          <w:color w:val="000000"/>
          <w:kern w:val="0"/>
          <w:sz w:val="24"/>
          <w:szCs w:val="18"/>
          <w:lang w:bidi="ar"/>
        </w:rPr>
        <w:t>否则本合同作废，甲方可取消乙方中标资格，中标资格顺延至第二中标候选人，以此类推。</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12、合同的终止</w:t>
      </w:r>
      <w:bookmarkEnd w:id="22"/>
      <w:bookmarkEnd w:id="23"/>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12.1以下情况下,甲方可以终止协议：</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a.乙方未能在合同规定的期限或甲方同意延长的期限内提供部分或全部货物；</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b.乙方未能履行合同规定的任何义务。</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  c.乙方破产或无清偿能力。</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12.2在发生合同终止的3种情况中任一种时，终止了全部或部分合同，甲方可以依其认为适当的条件和方法购买与未交货物类似的货物或服务，乙方应退还未交货货物的货款，并承担甲方因购买类似货物或服务而产生的额外支出。但是，乙方应继续执行合同中未终止的部分。</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13、适用法律</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本合同按照中华人民共和国现行法律进行解释。</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14、合同争端的解决</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14.1双方应本着友好协商的原则协商解决争端。</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14.2对于不能协商解决的争端,任何一方可向发包人所在地人民法院提起诉讼。。</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15、合同有效期</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本合同经双方授权代表签字盖章后生效。双方均不得随意变更或解除合同，如有争议，双方可以协商并签订补充协议，补充协议与本合同具有同等法律效力。</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合同终止：质保期结束同时合同终止。</w:t>
      </w: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tbl>
      <w:tblPr>
        <w:tblStyle w:val="20"/>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55" w:hRule="atLeast"/>
          <w:jc w:val="center"/>
        </w:trPr>
        <w:tc>
          <w:tcPr>
            <w:tcW w:w="4261" w:type="dxa"/>
          </w:tcPr>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甲方： </w:t>
            </w:r>
          </w:p>
          <w:p>
            <w:pPr>
              <w:widowControl/>
              <w:spacing w:line="400" w:lineRule="exact"/>
              <w:ind w:firstLine="480"/>
              <w:jc w:val="left"/>
              <w:textAlignment w:val="center"/>
              <w:rPr>
                <w:rFonts w:ascii="宋体" w:hAnsi="宋体" w:eastAsia="宋体" w:cs="宋体"/>
                <w:color w:val="000000"/>
                <w:kern w:val="0"/>
                <w:sz w:val="24"/>
                <w:szCs w:val="18"/>
                <w:lang w:bidi="ar"/>
              </w:rPr>
            </w:pP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地址：</w:t>
            </w:r>
          </w:p>
          <w:p>
            <w:pPr>
              <w:widowControl/>
              <w:spacing w:line="400" w:lineRule="exact"/>
              <w:ind w:firstLine="480"/>
              <w:jc w:val="left"/>
              <w:textAlignment w:val="center"/>
              <w:rPr>
                <w:rFonts w:ascii="宋体" w:hAnsi="宋体" w:eastAsia="宋体" w:cs="宋体"/>
                <w:color w:val="000000"/>
                <w:kern w:val="0"/>
                <w:sz w:val="24"/>
                <w:szCs w:val="18"/>
                <w:lang w:bidi="ar"/>
              </w:rPr>
            </w:pP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项目负责人：</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电话：</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传真：</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开户行：</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账号：</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邮编：</w:t>
            </w:r>
          </w:p>
        </w:tc>
        <w:tc>
          <w:tcPr>
            <w:tcW w:w="4261" w:type="dxa"/>
          </w:tcPr>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 xml:space="preserve">乙方： </w:t>
            </w:r>
          </w:p>
          <w:p>
            <w:pPr>
              <w:widowControl/>
              <w:spacing w:line="400" w:lineRule="exact"/>
              <w:ind w:firstLine="480"/>
              <w:jc w:val="left"/>
              <w:textAlignment w:val="center"/>
              <w:rPr>
                <w:rFonts w:ascii="宋体" w:hAnsi="宋体" w:eastAsia="宋体" w:cs="宋体"/>
                <w:color w:val="000000"/>
                <w:kern w:val="0"/>
                <w:sz w:val="24"/>
                <w:szCs w:val="18"/>
                <w:lang w:bidi="ar"/>
              </w:rPr>
            </w:pP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地址：</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法定代表人：</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委托代理人：</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电话：</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传真：</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开户行：</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账号：（必须与今后货款支付为同一帐号）</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邮编：</w:t>
            </w:r>
          </w:p>
        </w:tc>
      </w:tr>
    </w:tbl>
    <w:p>
      <w:pPr>
        <w:widowControl/>
        <w:spacing w:line="400" w:lineRule="exact"/>
        <w:ind w:firstLine="480"/>
        <w:jc w:val="left"/>
        <w:textAlignment w:val="center"/>
        <w:rPr>
          <w:rFonts w:ascii="宋体" w:hAnsi="宋体" w:eastAsia="宋体" w:cs="宋体"/>
          <w:color w:val="000000"/>
          <w:kern w:val="0"/>
          <w:sz w:val="24"/>
          <w:szCs w:val="18"/>
          <w:lang w:bidi="ar"/>
        </w:rPr>
      </w:pP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本合同签订地点：</w:t>
      </w:r>
    </w:p>
    <w:p>
      <w:pPr>
        <w:widowControl/>
        <w:spacing w:line="400" w:lineRule="exact"/>
        <w:ind w:firstLine="480"/>
        <w:jc w:val="left"/>
        <w:textAlignment w:val="center"/>
        <w:rPr>
          <w:rFonts w:ascii="宋体" w:hAnsi="宋体" w:eastAsia="宋体" w:cs="宋体"/>
          <w:color w:val="000000"/>
          <w:kern w:val="0"/>
          <w:sz w:val="24"/>
          <w:szCs w:val="18"/>
          <w:lang w:bidi="ar"/>
        </w:rPr>
      </w:pPr>
      <w:r>
        <w:rPr>
          <w:rFonts w:hint="eastAsia" w:ascii="宋体" w:hAnsi="宋体" w:eastAsia="宋体" w:cs="宋体"/>
          <w:color w:val="000000"/>
          <w:kern w:val="0"/>
          <w:sz w:val="24"/>
          <w:szCs w:val="18"/>
          <w:lang w:bidi="ar"/>
        </w:rPr>
        <w:t>本合同签订时间：   年   月    日</w:t>
      </w:r>
    </w:p>
    <w:p>
      <w:pPr>
        <w:widowControl/>
        <w:spacing w:line="360" w:lineRule="auto"/>
        <w:ind w:firstLine="640"/>
        <w:jc w:val="left"/>
        <w:textAlignment w:val="center"/>
        <w:rPr>
          <w:rFonts w:ascii="宋体" w:hAnsi="宋体" w:eastAsia="宋体" w:cs="宋体"/>
          <w:color w:val="000000"/>
          <w:kern w:val="0"/>
          <w:szCs w:val="21"/>
          <w:lang w:bidi="ar"/>
        </w:rPr>
      </w:pPr>
    </w:p>
    <w:p>
      <w:pPr>
        <w:ind w:firstLine="0" w:firstLineChars="0"/>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auto"/>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文星简小标宋">
    <w:panose1 w:val="02010609000101010101"/>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4"/>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syDgEsQEA&#10;AEgDAAAOAAAAAAAAAAEAIAAAAB4BAABkcnMvZTJvRG9jLnhtbFBLBQYAAAAABgAGAFkBAABBBQAA&#10;AAA=&#10;">
              <v:fill on="f" focussize="0,0"/>
              <v:stroke on="f"/>
              <v:imagedata o:title=""/>
              <o:lock v:ext="edit" aspectratio="f"/>
              <v:textbox inset="0mm,0mm,0mm,0mm" style="mso-fit-shape-to-text:t;">
                <w:txbxContent>
                  <w:p>
                    <w:pPr>
                      <w:pStyle w:val="14"/>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2BA8"/>
    <w:rsid w:val="00014B87"/>
    <w:rsid w:val="00037F1E"/>
    <w:rsid w:val="000677C7"/>
    <w:rsid w:val="000806FA"/>
    <w:rsid w:val="000A2CBC"/>
    <w:rsid w:val="000B7929"/>
    <w:rsid w:val="000C2C19"/>
    <w:rsid w:val="000D5622"/>
    <w:rsid w:val="000E24E5"/>
    <w:rsid w:val="001102F0"/>
    <w:rsid w:val="0011199B"/>
    <w:rsid w:val="0012308F"/>
    <w:rsid w:val="00124144"/>
    <w:rsid w:val="00134365"/>
    <w:rsid w:val="00171905"/>
    <w:rsid w:val="00172A27"/>
    <w:rsid w:val="00173EFE"/>
    <w:rsid w:val="0017639B"/>
    <w:rsid w:val="00177F60"/>
    <w:rsid w:val="001B1B97"/>
    <w:rsid w:val="00244DDE"/>
    <w:rsid w:val="00252A6D"/>
    <w:rsid w:val="00273FA4"/>
    <w:rsid w:val="00283B98"/>
    <w:rsid w:val="002A7957"/>
    <w:rsid w:val="002D01B2"/>
    <w:rsid w:val="00307AB4"/>
    <w:rsid w:val="0033279F"/>
    <w:rsid w:val="00334774"/>
    <w:rsid w:val="00336090"/>
    <w:rsid w:val="00353899"/>
    <w:rsid w:val="0037594C"/>
    <w:rsid w:val="003C3842"/>
    <w:rsid w:val="003F4D5B"/>
    <w:rsid w:val="00414F8D"/>
    <w:rsid w:val="00417CF7"/>
    <w:rsid w:val="004528BF"/>
    <w:rsid w:val="004550EB"/>
    <w:rsid w:val="00472D18"/>
    <w:rsid w:val="004C16DD"/>
    <w:rsid w:val="004F12BD"/>
    <w:rsid w:val="00561780"/>
    <w:rsid w:val="0056377B"/>
    <w:rsid w:val="0059095E"/>
    <w:rsid w:val="005916E5"/>
    <w:rsid w:val="005E6F93"/>
    <w:rsid w:val="005F0D84"/>
    <w:rsid w:val="005F1F7C"/>
    <w:rsid w:val="005F700E"/>
    <w:rsid w:val="005F7AAD"/>
    <w:rsid w:val="006073AA"/>
    <w:rsid w:val="00621946"/>
    <w:rsid w:val="006310FE"/>
    <w:rsid w:val="00645A47"/>
    <w:rsid w:val="006566EA"/>
    <w:rsid w:val="0067096B"/>
    <w:rsid w:val="00672386"/>
    <w:rsid w:val="00692C55"/>
    <w:rsid w:val="0070783F"/>
    <w:rsid w:val="00727BC0"/>
    <w:rsid w:val="007731D6"/>
    <w:rsid w:val="007C010F"/>
    <w:rsid w:val="00841C07"/>
    <w:rsid w:val="008547D0"/>
    <w:rsid w:val="00867BA0"/>
    <w:rsid w:val="008E2923"/>
    <w:rsid w:val="00901558"/>
    <w:rsid w:val="00923BCE"/>
    <w:rsid w:val="0095695C"/>
    <w:rsid w:val="00973F32"/>
    <w:rsid w:val="009807DC"/>
    <w:rsid w:val="00981D32"/>
    <w:rsid w:val="009924A2"/>
    <w:rsid w:val="009A54E3"/>
    <w:rsid w:val="009D2C6E"/>
    <w:rsid w:val="009D3629"/>
    <w:rsid w:val="009F5249"/>
    <w:rsid w:val="009F5BF2"/>
    <w:rsid w:val="00A16F9F"/>
    <w:rsid w:val="00A3467A"/>
    <w:rsid w:val="00A74AC5"/>
    <w:rsid w:val="00A778F6"/>
    <w:rsid w:val="00AC327F"/>
    <w:rsid w:val="00B235CB"/>
    <w:rsid w:val="00B25CAB"/>
    <w:rsid w:val="00B37361"/>
    <w:rsid w:val="00B56782"/>
    <w:rsid w:val="00BB334B"/>
    <w:rsid w:val="00BF1C63"/>
    <w:rsid w:val="00C0598E"/>
    <w:rsid w:val="00C30D10"/>
    <w:rsid w:val="00C45B85"/>
    <w:rsid w:val="00C60F27"/>
    <w:rsid w:val="00C72EF3"/>
    <w:rsid w:val="00CE0912"/>
    <w:rsid w:val="00CF12F9"/>
    <w:rsid w:val="00CF6C18"/>
    <w:rsid w:val="00D00B39"/>
    <w:rsid w:val="00D746B3"/>
    <w:rsid w:val="00D95885"/>
    <w:rsid w:val="00DB1C14"/>
    <w:rsid w:val="00DE0532"/>
    <w:rsid w:val="00E4264E"/>
    <w:rsid w:val="00E90CDE"/>
    <w:rsid w:val="00EB6D83"/>
    <w:rsid w:val="00F44816"/>
    <w:rsid w:val="00F52414"/>
    <w:rsid w:val="00F75477"/>
    <w:rsid w:val="00FA70BC"/>
    <w:rsid w:val="00FD7570"/>
    <w:rsid w:val="0137703F"/>
    <w:rsid w:val="01CA6FC4"/>
    <w:rsid w:val="023F5184"/>
    <w:rsid w:val="02490865"/>
    <w:rsid w:val="05444896"/>
    <w:rsid w:val="06D8597D"/>
    <w:rsid w:val="07020ED4"/>
    <w:rsid w:val="08C67DB5"/>
    <w:rsid w:val="08E579ED"/>
    <w:rsid w:val="0ABB5B32"/>
    <w:rsid w:val="0C5F4E1E"/>
    <w:rsid w:val="0D803E67"/>
    <w:rsid w:val="0E4E1A6A"/>
    <w:rsid w:val="0E4F7BF4"/>
    <w:rsid w:val="0F353A1A"/>
    <w:rsid w:val="0FB515D0"/>
    <w:rsid w:val="128173C5"/>
    <w:rsid w:val="1399257F"/>
    <w:rsid w:val="13AE025C"/>
    <w:rsid w:val="159506AA"/>
    <w:rsid w:val="17D46D02"/>
    <w:rsid w:val="18A03D41"/>
    <w:rsid w:val="19361BAF"/>
    <w:rsid w:val="19594D84"/>
    <w:rsid w:val="198C7217"/>
    <w:rsid w:val="1A5C35C2"/>
    <w:rsid w:val="1CBB0CAE"/>
    <w:rsid w:val="1F122EF7"/>
    <w:rsid w:val="1F9306FE"/>
    <w:rsid w:val="1FC13468"/>
    <w:rsid w:val="21280363"/>
    <w:rsid w:val="21611D1C"/>
    <w:rsid w:val="22286AF3"/>
    <w:rsid w:val="242057A9"/>
    <w:rsid w:val="265A7339"/>
    <w:rsid w:val="27577736"/>
    <w:rsid w:val="285831B2"/>
    <w:rsid w:val="2A3264A9"/>
    <w:rsid w:val="2B766067"/>
    <w:rsid w:val="2C645D8D"/>
    <w:rsid w:val="2EB4366E"/>
    <w:rsid w:val="2FEA01E9"/>
    <w:rsid w:val="2FEC7C3A"/>
    <w:rsid w:val="329B7B20"/>
    <w:rsid w:val="33440D6D"/>
    <w:rsid w:val="34D86A5F"/>
    <w:rsid w:val="34E533D4"/>
    <w:rsid w:val="34FE472D"/>
    <w:rsid w:val="35574416"/>
    <w:rsid w:val="360F20D6"/>
    <w:rsid w:val="36135BB1"/>
    <w:rsid w:val="374D74BF"/>
    <w:rsid w:val="38611E50"/>
    <w:rsid w:val="38A225D0"/>
    <w:rsid w:val="392F3BA2"/>
    <w:rsid w:val="393B6E71"/>
    <w:rsid w:val="39606947"/>
    <w:rsid w:val="39DB5497"/>
    <w:rsid w:val="3A624C75"/>
    <w:rsid w:val="3B154BB1"/>
    <w:rsid w:val="3BAD74F8"/>
    <w:rsid w:val="3CCE7D0E"/>
    <w:rsid w:val="40C23EB2"/>
    <w:rsid w:val="40E71B37"/>
    <w:rsid w:val="425C1E19"/>
    <w:rsid w:val="439D3E70"/>
    <w:rsid w:val="43BC0B23"/>
    <w:rsid w:val="44507E26"/>
    <w:rsid w:val="45D469B4"/>
    <w:rsid w:val="461270B9"/>
    <w:rsid w:val="46572996"/>
    <w:rsid w:val="467B49B9"/>
    <w:rsid w:val="477473F1"/>
    <w:rsid w:val="48420F8B"/>
    <w:rsid w:val="4B2C42DE"/>
    <w:rsid w:val="4B8C33AD"/>
    <w:rsid w:val="4BB55143"/>
    <w:rsid w:val="4D297114"/>
    <w:rsid w:val="506F5CE1"/>
    <w:rsid w:val="527929E9"/>
    <w:rsid w:val="53473429"/>
    <w:rsid w:val="53B603D5"/>
    <w:rsid w:val="540E6587"/>
    <w:rsid w:val="54C4151E"/>
    <w:rsid w:val="54E50366"/>
    <w:rsid w:val="557A5E63"/>
    <w:rsid w:val="57F62C06"/>
    <w:rsid w:val="588D4677"/>
    <w:rsid w:val="596500A8"/>
    <w:rsid w:val="5B3F570A"/>
    <w:rsid w:val="5BED6BC4"/>
    <w:rsid w:val="5C7F651B"/>
    <w:rsid w:val="5C8D12D3"/>
    <w:rsid w:val="5CAF63AA"/>
    <w:rsid w:val="5CF12E02"/>
    <w:rsid w:val="601161B9"/>
    <w:rsid w:val="612229C7"/>
    <w:rsid w:val="65D225D6"/>
    <w:rsid w:val="67FC44A4"/>
    <w:rsid w:val="692D7D59"/>
    <w:rsid w:val="695F628D"/>
    <w:rsid w:val="69E20164"/>
    <w:rsid w:val="6A1271A7"/>
    <w:rsid w:val="6AA13003"/>
    <w:rsid w:val="6D905244"/>
    <w:rsid w:val="6E8F0DAA"/>
    <w:rsid w:val="6EE57C3B"/>
    <w:rsid w:val="6F1C0E40"/>
    <w:rsid w:val="6F835DB1"/>
    <w:rsid w:val="703F4F52"/>
    <w:rsid w:val="706664F6"/>
    <w:rsid w:val="716F2336"/>
    <w:rsid w:val="71BB1844"/>
    <w:rsid w:val="737E1181"/>
    <w:rsid w:val="74B70E22"/>
    <w:rsid w:val="75FB2539"/>
    <w:rsid w:val="77166883"/>
    <w:rsid w:val="77F549C4"/>
    <w:rsid w:val="789F2BF8"/>
    <w:rsid w:val="79547289"/>
    <w:rsid w:val="7A825509"/>
    <w:rsid w:val="7B174C7C"/>
    <w:rsid w:val="7B7656C9"/>
    <w:rsid w:val="7C075F99"/>
    <w:rsid w:val="7C61005E"/>
    <w:rsid w:val="7D2057C6"/>
    <w:rsid w:val="7D3B4DF5"/>
    <w:rsid w:val="7FB35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Calibri" w:hAnsi="Calibri" w:eastAsia="仿宋" w:cs="Times New Roman"/>
      <w:kern w:val="2"/>
      <w:sz w:val="32"/>
      <w:szCs w:val="24"/>
      <w:lang w:val="en-US" w:eastAsia="zh-CN" w:bidi="ar-SA"/>
    </w:rPr>
  </w:style>
  <w:style w:type="paragraph" w:styleId="3">
    <w:name w:val="heading 1"/>
    <w:basedOn w:val="1"/>
    <w:next w:val="1"/>
    <w:qFormat/>
    <w:uiPriority w:val="0"/>
    <w:pPr>
      <w:keepNext/>
      <w:keepLines/>
      <w:outlineLvl w:val="0"/>
    </w:pPr>
    <w:rPr>
      <w:rFonts w:eastAsia="黑体" w:cs="仿宋_GB2312"/>
      <w:kern w:val="44"/>
      <w:szCs w:val="32"/>
    </w:rPr>
  </w:style>
  <w:style w:type="paragraph" w:styleId="4">
    <w:name w:val="heading 2"/>
    <w:basedOn w:val="1"/>
    <w:next w:val="5"/>
    <w:link w:val="23"/>
    <w:semiHidden/>
    <w:unhideWhenUsed/>
    <w:qFormat/>
    <w:uiPriority w:val="0"/>
    <w:pPr>
      <w:keepNext/>
      <w:keepLines/>
      <w:outlineLvl w:val="1"/>
    </w:pPr>
    <w:rPr>
      <w:rFonts w:ascii="Calibri Light" w:hAnsi="Calibri Light" w:eastAsia="楷体"/>
      <w:b/>
      <w:bCs/>
      <w:szCs w:val="32"/>
    </w:rPr>
  </w:style>
  <w:style w:type="paragraph" w:styleId="6">
    <w:name w:val="heading 3"/>
    <w:basedOn w:val="1"/>
    <w:next w:val="1"/>
    <w:link w:val="21"/>
    <w:semiHidden/>
    <w:unhideWhenUsed/>
    <w:qFormat/>
    <w:uiPriority w:val="0"/>
    <w:pPr>
      <w:keepNext/>
      <w:keepLines/>
      <w:spacing w:before="140" w:after="140" w:line="240" w:lineRule="auto"/>
      <w:ind w:firstLine="1041"/>
      <w:outlineLvl w:val="2"/>
    </w:pPr>
    <w:rPr>
      <w:rFonts w:asciiTheme="minorHAnsi" w:hAnsiTheme="minorHAnsi" w:eastAsiaTheme="minorEastAsia" w:cstheme="minorBidi"/>
      <w:b/>
      <w:szCs w:val="22"/>
    </w:rPr>
  </w:style>
  <w:style w:type="paragraph" w:styleId="7">
    <w:name w:val="heading 4"/>
    <w:basedOn w:val="1"/>
    <w:next w:val="1"/>
    <w:link w:val="22"/>
    <w:semiHidden/>
    <w:unhideWhenUsed/>
    <w:qFormat/>
    <w:uiPriority w:val="0"/>
    <w:pPr>
      <w:keepNext/>
      <w:keepLines/>
      <w:spacing w:before="60" w:after="60" w:line="240" w:lineRule="auto"/>
      <w:ind w:firstLine="1041"/>
      <w:outlineLvl w:val="3"/>
    </w:pPr>
    <w:rPr>
      <w:rFonts w:ascii="Arial" w:hAnsi="Arial" w:eastAsia="黑体" w:cstheme="minorBidi"/>
      <w:b/>
      <w:sz w:val="28"/>
      <w:szCs w:val="22"/>
    </w:rPr>
  </w:style>
  <w:style w:type="paragraph" w:styleId="8">
    <w:name w:val="heading 5"/>
    <w:basedOn w:val="1"/>
    <w:next w:val="1"/>
    <w:semiHidden/>
    <w:unhideWhenUsed/>
    <w:qFormat/>
    <w:uiPriority w:val="0"/>
    <w:pPr>
      <w:keepNext/>
      <w:keepLines/>
      <w:spacing w:line="240" w:lineRule="auto"/>
      <w:ind w:firstLine="1041"/>
      <w:outlineLvl w:val="4"/>
    </w:pPr>
    <w:rPr>
      <w:rFonts w:asciiTheme="minorHAnsi" w:hAnsiTheme="minorHAnsi" w:eastAsiaTheme="minorEastAsia" w:cstheme="minorBidi"/>
      <w:b/>
      <w:sz w:val="28"/>
      <w:szCs w:val="22"/>
    </w:rPr>
  </w:style>
  <w:style w:type="character" w:default="1" w:styleId="19">
    <w:name w:val="Default Paragraph Font"/>
    <w:semiHidden/>
    <w:unhideWhenUsed/>
    <w:uiPriority w:val="1"/>
  </w:style>
  <w:style w:type="table" w:default="1" w:styleId="20">
    <w:name w:val="Normal Table"/>
    <w:semiHidden/>
    <w:unhideWhenUsed/>
    <w:uiPriority w:val="99"/>
    <w:tblPr>
      <w:tblLayout w:type="fixed"/>
      <w:tblCellMar>
        <w:top w:w="0" w:type="dxa"/>
        <w:left w:w="108" w:type="dxa"/>
        <w:bottom w:w="0" w:type="dxa"/>
        <w:right w:w="108" w:type="dxa"/>
      </w:tblCellMar>
    </w:tblPr>
  </w:style>
  <w:style w:type="paragraph" w:customStyle="1" w:styleId="2">
    <w:name w:val="Default"/>
    <w:unhideWhenUsed/>
    <w:qFormat/>
    <w:uiPriority w:val="0"/>
    <w:pPr>
      <w:widowControl w:val="0"/>
      <w:autoSpaceDE w:val="0"/>
      <w:autoSpaceDN w:val="0"/>
      <w:adjustRightInd w:val="0"/>
      <w:spacing w:after="200" w:line="276" w:lineRule="auto"/>
    </w:pPr>
    <w:rPr>
      <w:rFonts w:hint="eastAsia" w:ascii="Arial" w:hAnsi="Arial" w:eastAsia="宋体" w:cs="Times New Roman"/>
      <w:color w:val="000000"/>
      <w:sz w:val="24"/>
      <w:szCs w:val="22"/>
      <w:lang w:val="en-US" w:eastAsia="zh-CN" w:bidi="ar-SA"/>
    </w:rPr>
  </w:style>
  <w:style w:type="paragraph" w:styleId="5">
    <w:name w:val="Normal Indent"/>
    <w:basedOn w:val="1"/>
    <w:qFormat/>
    <w:uiPriority w:val="0"/>
    <w:pPr>
      <w:spacing w:line="360" w:lineRule="auto"/>
    </w:pPr>
    <w:rPr>
      <w:sz w:val="24"/>
    </w:rPr>
  </w:style>
  <w:style w:type="paragraph" w:styleId="9">
    <w:name w:val="Body Text First Indent"/>
    <w:basedOn w:val="10"/>
    <w:unhideWhenUsed/>
    <w:qFormat/>
    <w:uiPriority w:val="99"/>
    <w:pPr>
      <w:ind w:firstLine="420" w:firstLineChars="100"/>
    </w:pPr>
  </w:style>
  <w:style w:type="paragraph" w:styleId="10">
    <w:name w:val="Body Text"/>
    <w:basedOn w:val="1"/>
    <w:next w:val="1"/>
    <w:qFormat/>
    <w:uiPriority w:val="1"/>
    <w:rPr>
      <w:sz w:val="21"/>
      <w:szCs w:val="21"/>
    </w:rPr>
  </w:style>
  <w:style w:type="paragraph" w:styleId="11">
    <w:name w:val="table of authorities"/>
    <w:basedOn w:val="1"/>
    <w:next w:val="1"/>
    <w:unhideWhenUsed/>
    <w:qFormat/>
    <w:uiPriority w:val="99"/>
    <w:pPr>
      <w:ind w:left="420" w:leftChars="200"/>
    </w:pPr>
    <w:rPr>
      <w:szCs w:val="20"/>
    </w:rPr>
  </w:style>
  <w:style w:type="paragraph" w:styleId="12">
    <w:name w:val="annotation text"/>
    <w:basedOn w:val="1"/>
    <w:qFormat/>
    <w:uiPriority w:val="0"/>
    <w:pPr>
      <w:jc w:val="left"/>
    </w:pPr>
  </w:style>
  <w:style w:type="paragraph" w:styleId="13">
    <w:name w:val="Balloon Text"/>
    <w:basedOn w:val="1"/>
    <w:link w:val="26"/>
    <w:qFormat/>
    <w:uiPriority w:val="0"/>
    <w:pPr>
      <w:spacing w:line="240" w:lineRule="auto"/>
    </w:pPr>
    <w:rPr>
      <w:sz w:val="18"/>
      <w:szCs w:val="18"/>
    </w:rPr>
  </w:style>
  <w:style w:type="paragraph" w:styleId="14">
    <w:name w:val="footer"/>
    <w:basedOn w:val="1"/>
    <w:next w:val="1"/>
    <w:qFormat/>
    <w:uiPriority w:val="0"/>
    <w:pPr>
      <w:tabs>
        <w:tab w:val="center" w:pos="4153"/>
        <w:tab w:val="right" w:pos="8306"/>
      </w:tabs>
      <w:snapToGrid w:val="0"/>
      <w:jc w:val="left"/>
    </w:pPr>
    <w:rPr>
      <w:sz w:val="18"/>
    </w:rPr>
  </w:style>
  <w:style w:type="paragraph" w:styleId="15">
    <w:name w:val="Body Text First Indent 2"/>
    <w:basedOn w:val="1"/>
    <w:next w:val="1"/>
    <w:qFormat/>
    <w:uiPriority w:val="0"/>
    <w:pPr>
      <w:ind w:firstLine="420"/>
    </w:p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7">
    <w:name w:val="toc 1"/>
    <w:basedOn w:val="1"/>
    <w:next w:val="1"/>
    <w:qFormat/>
    <w:uiPriority w:val="39"/>
    <w:pPr>
      <w:tabs>
        <w:tab w:val="right" w:leader="dot" w:pos="8296"/>
      </w:tabs>
      <w:outlineLvl w:val="0"/>
    </w:pPr>
    <w:rPr>
      <w:rFonts w:eastAsia="仿宋_GB2312"/>
      <w:b/>
      <w:sz w:val="24"/>
      <w:szCs w:val="20"/>
    </w:rPr>
  </w:style>
  <w:style w:type="paragraph" w:styleId="18">
    <w:name w:val="Normal (Web)"/>
    <w:basedOn w:val="1"/>
    <w:qFormat/>
    <w:uiPriority w:val="0"/>
    <w:pPr>
      <w:spacing w:before="100" w:beforeAutospacing="1" w:after="100" w:afterAutospacing="1"/>
      <w:jc w:val="left"/>
    </w:pPr>
    <w:rPr>
      <w:kern w:val="0"/>
      <w:sz w:val="24"/>
    </w:rPr>
  </w:style>
  <w:style w:type="character" w:customStyle="1" w:styleId="21">
    <w:name w:val="标题 3 Char"/>
    <w:link w:val="6"/>
    <w:qFormat/>
    <w:uiPriority w:val="9"/>
    <w:rPr>
      <w:rFonts w:asciiTheme="minorHAnsi" w:hAnsiTheme="minorHAnsi" w:eastAsiaTheme="minorEastAsia" w:cstheme="minorBidi"/>
      <w:b/>
      <w:sz w:val="32"/>
      <w:szCs w:val="22"/>
    </w:rPr>
  </w:style>
  <w:style w:type="character" w:customStyle="1" w:styleId="22">
    <w:name w:val="标题 4 Char"/>
    <w:link w:val="7"/>
    <w:qFormat/>
    <w:uiPriority w:val="9"/>
    <w:rPr>
      <w:rFonts w:ascii="Arial" w:hAnsi="Arial" w:eastAsia="黑体" w:cstheme="minorBidi"/>
      <w:b/>
      <w:sz w:val="28"/>
      <w:szCs w:val="22"/>
    </w:rPr>
  </w:style>
  <w:style w:type="character" w:customStyle="1" w:styleId="23">
    <w:name w:val="标题 2 Char"/>
    <w:basedOn w:val="19"/>
    <w:link w:val="4"/>
    <w:qFormat/>
    <w:uiPriority w:val="9"/>
    <w:rPr>
      <w:rFonts w:eastAsia="宋体" w:cs="Times New Roman" w:asciiTheme="majorHAnsi" w:hAnsiTheme="majorHAnsi"/>
      <w:b/>
      <w:bCs/>
      <w:sz w:val="32"/>
      <w:szCs w:val="32"/>
    </w:rPr>
  </w:style>
  <w:style w:type="paragraph" w:styleId="24">
    <w:name w:val="List Paragraph"/>
    <w:basedOn w:val="1"/>
    <w:qFormat/>
    <w:uiPriority w:val="99"/>
    <w:pPr>
      <w:ind w:firstLine="420"/>
    </w:pPr>
  </w:style>
  <w:style w:type="paragraph" w:styleId="25">
    <w:name w:val="No Spacing"/>
    <w:qFormat/>
    <w:uiPriority w:val="1"/>
    <w:pPr>
      <w:widowControl w:val="0"/>
      <w:jc w:val="both"/>
    </w:pPr>
    <w:rPr>
      <w:rFonts w:ascii="Calibri" w:hAnsi="Calibri" w:eastAsia="宋体" w:cs="Times New Roman"/>
      <w:kern w:val="2"/>
      <w:sz w:val="21"/>
      <w:szCs w:val="24"/>
      <w:lang w:val="en-US" w:eastAsia="zh-CN" w:bidi="ar-SA"/>
    </w:rPr>
  </w:style>
  <w:style w:type="character" w:customStyle="1" w:styleId="26">
    <w:name w:val="批注框文本 Char"/>
    <w:basedOn w:val="19"/>
    <w:link w:val="13"/>
    <w:qFormat/>
    <w:uiPriority w:val="0"/>
    <w:rPr>
      <w:rFonts w:ascii="Calibri" w:hAnsi="Calibri" w:eastAsia="仿宋"/>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8B80DE-FF99-4C24-99FF-2181293B86CB}">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19</Pages>
  <Words>2163</Words>
  <Characters>12330</Characters>
  <Lines>102</Lines>
  <Paragraphs>28</Paragraphs>
  <TotalTime>70</TotalTime>
  <ScaleCrop>false</ScaleCrop>
  <LinksUpToDate>false</LinksUpToDate>
  <CharactersWithSpaces>14465</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2025-04-07T09:01:00Z</dcterms:created>
  <dc:creator>要study去了</dc:creator>
  <cp:lastModifiedBy>陈</cp:lastModifiedBy>
  <cp:lastPrinted>2025-04-08T03:19:00Z</cp:lastPrinted>
  <dcterms:modified xsi:type="dcterms:W3CDTF">2025-04-08T07:16:28Z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y fmtid="{D5CDD505-2E9C-101B-9397-08002B2CF9AE}" pid="3" name="ICV">
    <vt:lpwstr>141734EC1A434228BA70D2EF0A4A6176_13</vt:lpwstr>
  </property>
  <property fmtid="{D5CDD505-2E9C-101B-9397-08002B2CF9AE}" pid="4" name="KSOTemplateDocerSaveRecord">
    <vt:lpwstr>eyJoZGlkIjoiNWUzMDYxYzc2ZDFiYmYzNDBiMzk4MDg4YTkwNjUzYWYiLCJ1c2VySWQiOiIzOTQ2Mzk4NjQifQ==</vt:lpwstr>
  </property>
</Properties>
</file>