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4EBE20">
      <w:pPr>
        <w:pStyle w:val="15"/>
        <w:ind w:left="0" w:leftChars="0" w:firstLine="0" w:firstLineChars="0"/>
        <w:rPr>
          <w:rFonts w:hint="eastAsia"/>
          <w:sz w:val="32"/>
          <w:szCs w:val="24"/>
          <w:lang w:val="en-US" w:eastAsia="zh-CN"/>
        </w:rPr>
      </w:pPr>
      <w:r>
        <w:rPr>
          <w:rFonts w:hint="eastAsia"/>
          <w:sz w:val="32"/>
          <w:szCs w:val="24"/>
          <w:lang w:val="en-US" w:eastAsia="zh-CN"/>
        </w:rPr>
        <w:t>附件1：</w:t>
      </w:r>
    </w:p>
    <w:p w14:paraId="49563B5B">
      <w:pPr>
        <w:pStyle w:val="15"/>
        <w:ind w:left="0" w:leftChars="0" w:firstLine="0" w:firstLineChars="0"/>
        <w:jc w:val="center"/>
        <w:rPr>
          <w:rFonts w:hint="eastAsia"/>
          <w:sz w:val="32"/>
          <w:szCs w:val="24"/>
          <w:lang w:val="en-US" w:eastAsia="zh-CN"/>
        </w:rPr>
      </w:pPr>
      <w:r>
        <w:rPr>
          <w:rFonts w:hint="eastAsia"/>
          <w:sz w:val="32"/>
          <w:szCs w:val="24"/>
          <w:lang w:val="en-US" w:eastAsia="zh-CN"/>
        </w:rPr>
        <w:t>评分表</w:t>
      </w:r>
    </w:p>
    <w:tbl>
      <w:tblPr>
        <w:tblStyle w:val="17"/>
        <w:tblpPr w:leftFromText="180" w:rightFromText="180" w:vertAnchor="text" w:horzAnchor="page" w:tblpX="1420" w:tblpY="537"/>
        <w:tblOverlap w:val="never"/>
        <w:tblW w:w="92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1178"/>
        <w:gridCol w:w="753"/>
        <w:gridCol w:w="6212"/>
      </w:tblGrid>
      <w:tr w14:paraId="7EED3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2235" w:type="dxa"/>
            <w:gridSpan w:val="2"/>
            <w:tcBorders>
              <w:top w:val="single" w:color="auto" w:sz="4" w:space="0"/>
              <w:left w:val="single" w:color="auto" w:sz="4" w:space="0"/>
              <w:bottom w:val="single" w:color="auto" w:sz="4" w:space="0"/>
              <w:right w:val="single" w:color="auto" w:sz="4" w:space="0"/>
            </w:tcBorders>
            <w:vAlign w:val="center"/>
          </w:tcPr>
          <w:p w14:paraId="7A7B14D9">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b/>
                <w:bCs/>
                <w:kern w:val="0"/>
                <w:sz w:val="28"/>
                <w:szCs w:val="28"/>
                <w:highlight w:val="none"/>
                <w:lang w:val="en-US" w:eastAsia="zh-CN"/>
              </w:rPr>
            </w:pPr>
            <w:r>
              <w:rPr>
                <w:rFonts w:hint="eastAsia" w:ascii="仿宋" w:hAnsi="仿宋" w:eastAsia="仿宋" w:cs="仿宋"/>
                <w:b/>
                <w:bCs/>
                <w:kern w:val="0"/>
                <w:sz w:val="28"/>
                <w:szCs w:val="28"/>
                <w:highlight w:val="none"/>
                <w:lang w:val="en-US" w:eastAsia="zh-CN"/>
              </w:rPr>
              <w:t>评 分 项 目</w:t>
            </w:r>
          </w:p>
        </w:tc>
        <w:tc>
          <w:tcPr>
            <w:tcW w:w="753" w:type="dxa"/>
            <w:tcBorders>
              <w:top w:val="single" w:color="auto" w:sz="4" w:space="0"/>
              <w:left w:val="single" w:color="auto" w:sz="4" w:space="0"/>
              <w:bottom w:val="single" w:color="auto" w:sz="4" w:space="0"/>
              <w:right w:val="single" w:color="auto" w:sz="4" w:space="0"/>
            </w:tcBorders>
            <w:vAlign w:val="center"/>
          </w:tcPr>
          <w:p w14:paraId="23BB86A2">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b/>
                <w:bCs/>
                <w:kern w:val="0"/>
                <w:sz w:val="28"/>
                <w:szCs w:val="28"/>
                <w:highlight w:val="none"/>
                <w:lang w:val="en-US" w:eastAsia="zh-CN"/>
              </w:rPr>
            </w:pPr>
            <w:r>
              <w:rPr>
                <w:rFonts w:hint="eastAsia" w:ascii="仿宋" w:hAnsi="仿宋" w:eastAsia="仿宋" w:cs="仿宋"/>
                <w:b/>
                <w:bCs/>
                <w:kern w:val="0"/>
                <w:sz w:val="28"/>
                <w:szCs w:val="28"/>
                <w:highlight w:val="none"/>
                <w:lang w:val="en-US" w:eastAsia="zh-CN"/>
              </w:rPr>
              <w:t>分值</w:t>
            </w:r>
          </w:p>
        </w:tc>
        <w:tc>
          <w:tcPr>
            <w:tcW w:w="6212" w:type="dxa"/>
            <w:tcBorders>
              <w:top w:val="single" w:color="auto" w:sz="4" w:space="0"/>
              <w:left w:val="single" w:color="auto" w:sz="4" w:space="0"/>
              <w:bottom w:val="single" w:color="auto" w:sz="4" w:space="0"/>
              <w:right w:val="single" w:color="auto" w:sz="4" w:space="0"/>
            </w:tcBorders>
            <w:vAlign w:val="center"/>
          </w:tcPr>
          <w:p w14:paraId="2B247916">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b/>
                <w:bCs/>
                <w:kern w:val="0"/>
                <w:sz w:val="28"/>
                <w:szCs w:val="28"/>
                <w:highlight w:val="none"/>
                <w:lang w:val="en-US" w:eastAsia="zh-CN"/>
              </w:rPr>
            </w:pPr>
            <w:r>
              <w:rPr>
                <w:rFonts w:hint="eastAsia" w:ascii="仿宋" w:hAnsi="仿宋" w:eastAsia="仿宋" w:cs="仿宋"/>
                <w:b/>
                <w:bCs/>
                <w:kern w:val="0"/>
                <w:sz w:val="28"/>
                <w:szCs w:val="28"/>
                <w:highlight w:val="none"/>
                <w:lang w:val="en-US" w:eastAsia="zh-CN"/>
              </w:rPr>
              <w:t>评  分  标  准</w:t>
            </w:r>
          </w:p>
        </w:tc>
      </w:tr>
      <w:tr w14:paraId="3F602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5" w:hRule="atLeast"/>
        </w:trPr>
        <w:tc>
          <w:tcPr>
            <w:tcW w:w="1057" w:type="dxa"/>
            <w:tcBorders>
              <w:top w:val="single" w:color="auto" w:sz="4" w:space="0"/>
              <w:left w:val="single" w:color="auto" w:sz="4" w:space="0"/>
              <w:bottom w:val="single" w:color="auto" w:sz="4" w:space="0"/>
              <w:right w:val="single" w:color="auto" w:sz="4" w:space="0"/>
            </w:tcBorders>
            <w:vAlign w:val="center"/>
          </w:tcPr>
          <w:p w14:paraId="66BF3336">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r>
              <w:rPr>
                <w:rFonts w:hint="eastAsia" w:ascii="仿宋" w:hAnsi="仿宋" w:eastAsia="仿宋" w:cs="仿宋"/>
                <w:kern w:val="0"/>
                <w:sz w:val="28"/>
                <w:szCs w:val="28"/>
                <w:highlight w:val="none"/>
                <w:lang w:val="en-US" w:eastAsia="zh-CN"/>
              </w:rPr>
              <w:t>价格部分</w:t>
            </w:r>
            <w:r>
              <w:rPr>
                <w:rFonts w:hint="eastAsia" w:ascii="仿宋" w:hAnsi="仿宋" w:eastAsia="仿宋" w:cs="仿宋"/>
                <w:kern w:val="0"/>
                <w:sz w:val="28"/>
                <w:szCs w:val="28"/>
                <w:highlight w:val="none"/>
                <w:lang w:eastAsia="zh-CN"/>
              </w:rPr>
              <w:t>（</w:t>
            </w:r>
            <w:r>
              <w:rPr>
                <w:rFonts w:hint="eastAsia" w:ascii="仿宋" w:hAnsi="仿宋" w:cs="仿宋"/>
                <w:kern w:val="0"/>
                <w:sz w:val="28"/>
                <w:szCs w:val="28"/>
                <w:highlight w:val="none"/>
                <w:lang w:val="en-US" w:eastAsia="zh-CN"/>
              </w:rPr>
              <w:t>4</w:t>
            </w:r>
            <w:r>
              <w:rPr>
                <w:rFonts w:hint="eastAsia" w:ascii="仿宋" w:hAnsi="仿宋" w:eastAsia="仿宋" w:cs="仿宋"/>
                <w:kern w:val="0"/>
                <w:sz w:val="28"/>
                <w:szCs w:val="28"/>
                <w:highlight w:val="none"/>
              </w:rPr>
              <w:t>0分</w:t>
            </w:r>
            <w:r>
              <w:rPr>
                <w:rFonts w:hint="eastAsia" w:ascii="仿宋" w:hAnsi="仿宋" w:eastAsia="仿宋" w:cs="仿宋"/>
                <w:kern w:val="0"/>
                <w:sz w:val="28"/>
                <w:szCs w:val="28"/>
                <w:highlight w:val="none"/>
                <w:lang w:eastAsia="zh-CN"/>
              </w:rPr>
              <w:t>）</w:t>
            </w:r>
          </w:p>
        </w:tc>
        <w:tc>
          <w:tcPr>
            <w:tcW w:w="1178" w:type="dxa"/>
            <w:tcBorders>
              <w:top w:val="single" w:color="auto" w:sz="4" w:space="0"/>
              <w:left w:val="single" w:color="auto" w:sz="4" w:space="0"/>
              <w:bottom w:val="single" w:color="auto" w:sz="4" w:space="0"/>
              <w:right w:val="single" w:color="auto" w:sz="4" w:space="0"/>
            </w:tcBorders>
            <w:vAlign w:val="center"/>
          </w:tcPr>
          <w:p w14:paraId="24CB875F">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r>
              <w:rPr>
                <w:rFonts w:hint="eastAsia" w:ascii="仿宋" w:hAnsi="仿宋" w:eastAsia="仿宋" w:cs="仿宋"/>
                <w:kern w:val="0"/>
                <w:sz w:val="28"/>
                <w:szCs w:val="28"/>
                <w:highlight w:val="none"/>
              </w:rPr>
              <w:t>报价得分</w:t>
            </w:r>
          </w:p>
        </w:tc>
        <w:tc>
          <w:tcPr>
            <w:tcW w:w="753" w:type="dxa"/>
            <w:tcBorders>
              <w:top w:val="single" w:color="auto" w:sz="4" w:space="0"/>
              <w:left w:val="single" w:color="auto" w:sz="4" w:space="0"/>
              <w:bottom w:val="single" w:color="auto" w:sz="4" w:space="0"/>
              <w:right w:val="single" w:color="auto" w:sz="4" w:space="0"/>
            </w:tcBorders>
            <w:vAlign w:val="center"/>
          </w:tcPr>
          <w:p w14:paraId="722A4749">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r>
              <w:rPr>
                <w:rFonts w:hint="eastAsia" w:ascii="仿宋" w:hAnsi="仿宋" w:cs="仿宋"/>
                <w:w w:val="90"/>
                <w:sz w:val="28"/>
                <w:szCs w:val="28"/>
                <w:lang w:val="en-US" w:eastAsia="zh-CN"/>
              </w:rPr>
              <w:t>4</w:t>
            </w:r>
            <w:r>
              <w:rPr>
                <w:rFonts w:hint="eastAsia" w:ascii="仿宋" w:hAnsi="仿宋" w:eastAsia="仿宋" w:cs="仿宋"/>
                <w:w w:val="90"/>
                <w:sz w:val="28"/>
                <w:szCs w:val="28"/>
              </w:rPr>
              <w:t>0分</w:t>
            </w:r>
          </w:p>
        </w:tc>
        <w:tc>
          <w:tcPr>
            <w:tcW w:w="6212" w:type="dxa"/>
            <w:tcBorders>
              <w:top w:val="single" w:color="auto" w:sz="4" w:space="0"/>
              <w:left w:val="single" w:color="auto" w:sz="4" w:space="0"/>
              <w:bottom w:val="single" w:color="auto" w:sz="4" w:space="0"/>
              <w:right w:val="single" w:color="auto" w:sz="4" w:space="0"/>
            </w:tcBorders>
            <w:vAlign w:val="center"/>
          </w:tcPr>
          <w:p w14:paraId="7654C509">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当参与评标基准价计算的有效投标报价的数量大于5家时，评标基准价等于去掉一个最高投标报价和一个最低投标报价后的算术平均值。当参与评标基准价计算的有效投标报价的数量小于等于5家时，评标基准价等于所有有效投标报价的算术平均值</w:t>
            </w:r>
          </w:p>
          <w:p w14:paraId="2D4D45A9">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投标报价得分=</w:t>
            </w:r>
            <w:r>
              <w:rPr>
                <w:rFonts w:hint="eastAsia" w:ascii="仿宋" w:hAnsi="仿宋" w:cs="仿宋"/>
                <w:kern w:val="0"/>
                <w:sz w:val="28"/>
                <w:szCs w:val="28"/>
                <w:highlight w:val="none"/>
                <w:lang w:val="en-US" w:eastAsia="zh-CN"/>
              </w:rPr>
              <w:t>4</w:t>
            </w:r>
            <w:r>
              <w:rPr>
                <w:rFonts w:hint="eastAsia" w:ascii="仿宋" w:hAnsi="仿宋" w:eastAsia="仿宋" w:cs="仿宋"/>
                <w:kern w:val="0"/>
                <w:sz w:val="28"/>
                <w:szCs w:val="28"/>
                <w:highlight w:val="none"/>
              </w:rPr>
              <w:t>0－(｜M－N｜/N)*100*K</w:t>
            </w:r>
          </w:p>
          <w:p w14:paraId="258BD163">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N基准价，为全部有效投标报价平均值；</w:t>
            </w:r>
          </w:p>
          <w:p w14:paraId="2A6FF53A">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w w:val="90"/>
                <w:sz w:val="28"/>
                <w:szCs w:val="28"/>
              </w:rPr>
            </w:pPr>
            <w:r>
              <w:rPr>
                <w:rFonts w:hint="eastAsia" w:ascii="仿宋" w:hAnsi="仿宋" w:eastAsia="仿宋" w:cs="仿宋"/>
                <w:kern w:val="0"/>
                <w:sz w:val="28"/>
                <w:szCs w:val="28"/>
                <w:highlight w:val="none"/>
              </w:rPr>
              <w:t>M为投标人的报价；当M≥N时，K=1，当M＜N时，K=0.5</w:t>
            </w:r>
          </w:p>
        </w:tc>
      </w:tr>
      <w:tr w14:paraId="624F9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7" w:hRule="atLeast"/>
        </w:trPr>
        <w:tc>
          <w:tcPr>
            <w:tcW w:w="1057" w:type="dxa"/>
            <w:vMerge w:val="restart"/>
            <w:tcBorders>
              <w:left w:val="single" w:color="auto" w:sz="4" w:space="0"/>
              <w:right w:val="single" w:color="auto" w:sz="4" w:space="0"/>
            </w:tcBorders>
            <w:vAlign w:val="center"/>
          </w:tcPr>
          <w:p w14:paraId="2E3750EE">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lang w:eastAsia="zh-CN"/>
              </w:rPr>
            </w:pPr>
            <w:r>
              <w:rPr>
                <w:rFonts w:hint="eastAsia" w:ascii="仿宋" w:hAnsi="仿宋" w:eastAsia="仿宋" w:cs="仿宋"/>
                <w:kern w:val="0"/>
                <w:sz w:val="28"/>
                <w:szCs w:val="28"/>
                <w:highlight w:val="none"/>
              </w:rPr>
              <w:t>综合实力</w:t>
            </w:r>
            <w:r>
              <w:rPr>
                <w:rFonts w:hint="eastAsia" w:ascii="仿宋" w:hAnsi="仿宋" w:eastAsia="仿宋" w:cs="仿宋"/>
                <w:kern w:val="0"/>
                <w:sz w:val="28"/>
                <w:szCs w:val="28"/>
                <w:highlight w:val="none"/>
                <w:lang w:eastAsia="zh-CN"/>
              </w:rPr>
              <w:t>（</w:t>
            </w:r>
            <w:r>
              <w:rPr>
                <w:rFonts w:hint="eastAsia" w:ascii="仿宋" w:hAnsi="仿宋" w:cs="仿宋"/>
                <w:kern w:val="0"/>
                <w:sz w:val="28"/>
                <w:szCs w:val="28"/>
                <w:highlight w:val="none"/>
                <w:lang w:val="en-US" w:eastAsia="zh-CN"/>
              </w:rPr>
              <w:t>3</w:t>
            </w:r>
            <w:r>
              <w:rPr>
                <w:rFonts w:hint="eastAsia" w:ascii="仿宋" w:hAnsi="仿宋" w:eastAsia="仿宋" w:cs="仿宋"/>
                <w:kern w:val="0"/>
                <w:sz w:val="28"/>
                <w:szCs w:val="28"/>
                <w:highlight w:val="none"/>
                <w:lang w:val="en-US" w:eastAsia="zh-CN"/>
              </w:rPr>
              <w:t>0</w:t>
            </w:r>
            <w:r>
              <w:rPr>
                <w:rFonts w:hint="eastAsia" w:ascii="仿宋" w:hAnsi="仿宋" w:eastAsia="仿宋" w:cs="仿宋"/>
                <w:kern w:val="0"/>
                <w:sz w:val="28"/>
                <w:szCs w:val="28"/>
                <w:highlight w:val="none"/>
              </w:rPr>
              <w:t>分</w:t>
            </w:r>
            <w:r>
              <w:rPr>
                <w:rFonts w:hint="eastAsia" w:ascii="仿宋" w:hAnsi="仿宋" w:eastAsia="仿宋" w:cs="仿宋"/>
                <w:kern w:val="0"/>
                <w:sz w:val="28"/>
                <w:szCs w:val="28"/>
                <w:highlight w:val="none"/>
                <w:lang w:eastAsia="zh-CN"/>
              </w:rPr>
              <w:t>）</w:t>
            </w:r>
          </w:p>
        </w:tc>
        <w:tc>
          <w:tcPr>
            <w:tcW w:w="1178" w:type="dxa"/>
            <w:tcBorders>
              <w:top w:val="single" w:color="auto" w:sz="4" w:space="0"/>
              <w:left w:val="single" w:color="auto" w:sz="4" w:space="0"/>
              <w:right w:val="single" w:color="auto" w:sz="4" w:space="0"/>
            </w:tcBorders>
            <w:vAlign w:val="center"/>
          </w:tcPr>
          <w:p w14:paraId="00BF1E58">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r>
              <w:rPr>
                <w:rFonts w:hint="eastAsia" w:ascii="仿宋" w:hAnsi="仿宋" w:eastAsia="仿宋" w:cs="仿宋"/>
                <w:kern w:val="0"/>
                <w:sz w:val="28"/>
                <w:szCs w:val="28"/>
                <w:highlight w:val="none"/>
              </w:rPr>
              <w:t>投标人主要类似业绩</w:t>
            </w:r>
          </w:p>
        </w:tc>
        <w:tc>
          <w:tcPr>
            <w:tcW w:w="753" w:type="dxa"/>
            <w:tcBorders>
              <w:top w:val="single" w:color="auto" w:sz="4" w:space="0"/>
              <w:left w:val="single" w:color="auto" w:sz="4" w:space="0"/>
              <w:right w:val="single" w:color="auto" w:sz="4" w:space="0"/>
            </w:tcBorders>
            <w:vAlign w:val="center"/>
          </w:tcPr>
          <w:p w14:paraId="0CCA504E">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lang w:val="en-US"/>
              </w:rPr>
            </w:pPr>
            <w:r>
              <w:rPr>
                <w:rFonts w:hint="eastAsia" w:ascii="仿宋" w:hAnsi="仿宋" w:cs="仿宋"/>
                <w:w w:val="90"/>
                <w:sz w:val="28"/>
                <w:szCs w:val="28"/>
                <w:lang w:val="en-US" w:eastAsia="zh-CN"/>
              </w:rPr>
              <w:t>12</w:t>
            </w:r>
            <w:r>
              <w:rPr>
                <w:rFonts w:hint="eastAsia" w:ascii="仿宋" w:hAnsi="仿宋" w:eastAsia="仿宋" w:cs="仿宋"/>
                <w:w w:val="90"/>
                <w:sz w:val="28"/>
                <w:szCs w:val="28"/>
              </w:rPr>
              <w:t>分</w:t>
            </w:r>
          </w:p>
        </w:tc>
        <w:tc>
          <w:tcPr>
            <w:tcW w:w="6212" w:type="dxa"/>
            <w:tcBorders>
              <w:top w:val="single" w:color="auto" w:sz="4" w:space="0"/>
              <w:left w:val="single" w:color="auto" w:sz="4" w:space="0"/>
              <w:bottom w:val="single" w:color="auto" w:sz="4" w:space="0"/>
              <w:right w:val="single" w:color="auto" w:sz="4" w:space="0"/>
            </w:tcBorders>
            <w:vAlign w:val="center"/>
          </w:tcPr>
          <w:p w14:paraId="192BC8FD">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w w:val="90"/>
                <w:sz w:val="28"/>
                <w:szCs w:val="28"/>
              </w:rPr>
            </w:pPr>
            <w:r>
              <w:rPr>
                <w:rFonts w:hint="eastAsia" w:ascii="仿宋" w:hAnsi="仿宋" w:eastAsia="仿宋" w:cs="仿宋"/>
                <w:kern w:val="0"/>
                <w:sz w:val="28"/>
                <w:szCs w:val="28"/>
                <w:highlight w:val="none"/>
              </w:rPr>
              <w:t>投标人近三</w:t>
            </w:r>
            <w:r>
              <w:rPr>
                <w:rFonts w:hint="eastAsia" w:ascii="仿宋" w:hAnsi="仿宋" w:eastAsia="仿宋" w:cs="仿宋"/>
                <w:kern w:val="0"/>
                <w:sz w:val="30"/>
                <w:szCs w:val="30"/>
                <w:highlight w:val="none"/>
              </w:rPr>
              <w:t>年（</w:t>
            </w:r>
            <w:bookmarkStart w:id="0" w:name="OLE_LINK6"/>
            <w:r>
              <w:rPr>
                <w:rFonts w:hint="eastAsia" w:ascii="仿宋" w:hAnsi="仿宋" w:eastAsia="仿宋" w:cs="仿宋"/>
                <w:kern w:val="0"/>
                <w:sz w:val="30"/>
                <w:szCs w:val="30"/>
                <w:highlight w:val="none"/>
              </w:rPr>
              <w:t>20</w:t>
            </w:r>
            <w:r>
              <w:rPr>
                <w:rFonts w:hint="eastAsia" w:ascii="仿宋" w:hAnsi="仿宋" w:eastAsia="仿宋" w:cs="仿宋"/>
                <w:kern w:val="0"/>
                <w:sz w:val="30"/>
                <w:szCs w:val="30"/>
                <w:highlight w:val="none"/>
                <w:lang w:val="en-US"/>
              </w:rPr>
              <w:t>22</w:t>
            </w:r>
            <w:r>
              <w:rPr>
                <w:rFonts w:hint="eastAsia" w:ascii="仿宋" w:hAnsi="仿宋" w:eastAsia="仿宋" w:cs="仿宋"/>
                <w:kern w:val="0"/>
                <w:sz w:val="30"/>
                <w:szCs w:val="30"/>
                <w:highlight w:val="none"/>
              </w:rPr>
              <w:t>年</w:t>
            </w:r>
            <w:r>
              <w:rPr>
                <w:rFonts w:hint="eastAsia" w:ascii="仿宋" w:hAnsi="仿宋" w:eastAsia="仿宋" w:cs="仿宋"/>
                <w:kern w:val="0"/>
                <w:sz w:val="30"/>
                <w:szCs w:val="30"/>
                <w:highlight w:val="none"/>
                <w:lang w:val="en-US"/>
              </w:rPr>
              <w:t>3</w:t>
            </w:r>
            <w:r>
              <w:rPr>
                <w:rFonts w:hint="eastAsia" w:ascii="仿宋" w:hAnsi="仿宋" w:eastAsia="仿宋" w:cs="仿宋"/>
                <w:kern w:val="0"/>
                <w:sz w:val="30"/>
                <w:szCs w:val="30"/>
                <w:highlight w:val="none"/>
                <w:lang w:eastAsia="zh-CN"/>
              </w:rPr>
              <w:t>月</w:t>
            </w:r>
            <w:r>
              <w:rPr>
                <w:rFonts w:hint="eastAsia" w:ascii="仿宋" w:hAnsi="仿宋" w:eastAsia="仿宋" w:cs="仿宋"/>
                <w:kern w:val="0"/>
                <w:sz w:val="30"/>
                <w:szCs w:val="30"/>
                <w:highlight w:val="none"/>
                <w:lang w:val="en-US" w:eastAsia="zh-CN"/>
              </w:rPr>
              <w:t>以后</w:t>
            </w:r>
            <w:bookmarkEnd w:id="0"/>
            <w:r>
              <w:rPr>
                <w:rFonts w:hint="eastAsia" w:ascii="仿宋" w:hAnsi="仿宋" w:eastAsia="仿宋" w:cs="仿宋"/>
                <w:kern w:val="0"/>
                <w:sz w:val="30"/>
                <w:szCs w:val="30"/>
                <w:highlight w:val="none"/>
              </w:rPr>
              <w:t>）承担过一项单项合同金额在</w:t>
            </w:r>
            <w:r>
              <w:rPr>
                <w:rFonts w:hint="eastAsia" w:ascii="仿宋" w:hAnsi="仿宋" w:eastAsia="仿宋" w:cs="仿宋"/>
                <w:kern w:val="0"/>
                <w:sz w:val="30"/>
                <w:szCs w:val="30"/>
                <w:highlight w:val="none"/>
                <w:lang w:val="en-US" w:eastAsia="zh-CN"/>
              </w:rPr>
              <w:t>20</w:t>
            </w:r>
            <w:r>
              <w:rPr>
                <w:rFonts w:hint="eastAsia" w:ascii="仿宋" w:hAnsi="仿宋" w:eastAsia="仿宋" w:cs="仿宋"/>
                <w:kern w:val="0"/>
                <w:sz w:val="30"/>
                <w:szCs w:val="30"/>
                <w:highlight w:val="none"/>
              </w:rPr>
              <w:t>万元及以上的</w:t>
            </w:r>
            <w:r>
              <w:rPr>
                <w:rFonts w:hint="eastAsia" w:ascii="仿宋" w:hAnsi="仿宋" w:cs="仿宋"/>
                <w:kern w:val="0"/>
                <w:sz w:val="30"/>
                <w:szCs w:val="30"/>
                <w:highlight w:val="none"/>
                <w:lang w:val="en-US" w:eastAsia="zh-CN"/>
              </w:rPr>
              <w:t>市政</w:t>
            </w:r>
            <w:r>
              <w:rPr>
                <w:rFonts w:hint="eastAsia" w:ascii="仿宋" w:hAnsi="仿宋" w:eastAsia="仿宋" w:cs="仿宋"/>
                <w:kern w:val="0"/>
                <w:sz w:val="30"/>
                <w:szCs w:val="30"/>
                <w:highlight w:val="none"/>
              </w:rPr>
              <w:t>工程设计业绩</w:t>
            </w:r>
            <w:r>
              <w:rPr>
                <w:rFonts w:hint="eastAsia" w:ascii="仿宋" w:hAnsi="仿宋" w:eastAsia="仿宋" w:cs="仿宋"/>
                <w:kern w:val="0"/>
                <w:sz w:val="30"/>
                <w:szCs w:val="30"/>
                <w:highlight w:val="none"/>
                <w:lang w:val="en-US"/>
              </w:rPr>
              <w:t>得0分</w:t>
            </w:r>
            <w:r>
              <w:rPr>
                <w:rFonts w:hint="eastAsia" w:ascii="仿宋" w:hAnsi="仿宋" w:eastAsia="仿宋" w:cs="仿宋"/>
                <w:kern w:val="0"/>
                <w:sz w:val="30"/>
                <w:szCs w:val="30"/>
                <w:highlight w:val="none"/>
              </w:rPr>
              <w:t>，每增加一个加</w:t>
            </w:r>
            <w:r>
              <w:rPr>
                <w:rFonts w:hint="eastAsia" w:ascii="仿宋" w:hAnsi="仿宋" w:cs="仿宋"/>
                <w:kern w:val="0"/>
                <w:sz w:val="30"/>
                <w:szCs w:val="30"/>
                <w:highlight w:val="none"/>
                <w:lang w:val="en-US" w:eastAsia="zh-CN"/>
              </w:rPr>
              <w:t>3</w:t>
            </w:r>
            <w:r>
              <w:rPr>
                <w:rFonts w:hint="eastAsia" w:ascii="仿宋" w:hAnsi="仿宋" w:eastAsia="仿宋" w:cs="仿宋"/>
                <w:kern w:val="0"/>
                <w:sz w:val="30"/>
                <w:szCs w:val="30"/>
                <w:highlight w:val="none"/>
              </w:rPr>
              <w:t>分，最多得</w:t>
            </w:r>
            <w:r>
              <w:rPr>
                <w:rFonts w:hint="eastAsia" w:ascii="仿宋" w:hAnsi="仿宋" w:cs="仿宋"/>
                <w:kern w:val="0"/>
                <w:sz w:val="30"/>
                <w:szCs w:val="30"/>
                <w:highlight w:val="none"/>
                <w:lang w:val="en-US" w:eastAsia="zh-CN"/>
              </w:rPr>
              <w:t>12</w:t>
            </w:r>
            <w:r>
              <w:rPr>
                <w:rFonts w:hint="eastAsia" w:ascii="仿宋" w:hAnsi="仿宋" w:eastAsia="仿宋" w:cs="仿宋"/>
                <w:kern w:val="0"/>
                <w:sz w:val="30"/>
                <w:szCs w:val="30"/>
                <w:highlight w:val="none"/>
              </w:rPr>
              <w:t>分（同一合同分为不同标段的只作</w:t>
            </w:r>
            <w:r>
              <w:rPr>
                <w:rFonts w:hint="eastAsia" w:ascii="仿宋" w:hAnsi="仿宋" w:eastAsia="仿宋" w:cs="仿宋"/>
                <w:kern w:val="0"/>
                <w:sz w:val="28"/>
                <w:szCs w:val="28"/>
                <w:highlight w:val="none"/>
              </w:rPr>
              <w:t>一项计算）；需提供合同或中标通知书，</w:t>
            </w:r>
            <w:r>
              <w:rPr>
                <w:rFonts w:hint="eastAsia" w:ascii="仿宋" w:hAnsi="仿宋" w:eastAsia="仿宋" w:cs="仿宋"/>
                <w:kern w:val="0"/>
                <w:sz w:val="28"/>
                <w:szCs w:val="28"/>
                <w:lang w:bidi="zh-CN"/>
              </w:rPr>
              <w:t>类似业绩的有效时间以合同签订时间为准。</w:t>
            </w:r>
          </w:p>
        </w:tc>
      </w:tr>
      <w:tr w14:paraId="6477E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6" w:hRule="atLeast"/>
        </w:trPr>
        <w:tc>
          <w:tcPr>
            <w:tcW w:w="1057" w:type="dxa"/>
            <w:vMerge w:val="continue"/>
            <w:tcBorders>
              <w:left w:val="single" w:color="auto" w:sz="4" w:space="0"/>
              <w:right w:val="single" w:color="auto" w:sz="4" w:space="0"/>
            </w:tcBorders>
            <w:vAlign w:val="center"/>
          </w:tcPr>
          <w:p w14:paraId="04CD69B0">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p>
        </w:tc>
        <w:tc>
          <w:tcPr>
            <w:tcW w:w="1178" w:type="dxa"/>
            <w:tcBorders>
              <w:top w:val="single" w:color="auto" w:sz="4" w:space="0"/>
              <w:left w:val="single" w:color="auto" w:sz="4" w:space="0"/>
              <w:right w:val="single" w:color="auto" w:sz="4" w:space="0"/>
            </w:tcBorders>
            <w:vAlign w:val="center"/>
          </w:tcPr>
          <w:p w14:paraId="3D3496EE">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r>
              <w:rPr>
                <w:rFonts w:hint="eastAsia" w:ascii="仿宋" w:hAnsi="仿宋" w:eastAsia="仿宋" w:cs="仿宋"/>
                <w:kern w:val="0"/>
                <w:sz w:val="28"/>
                <w:szCs w:val="28"/>
                <w:highlight w:val="none"/>
              </w:rPr>
              <w:t>项目负责人资质、业绩情况</w:t>
            </w:r>
          </w:p>
        </w:tc>
        <w:tc>
          <w:tcPr>
            <w:tcW w:w="753" w:type="dxa"/>
            <w:tcBorders>
              <w:top w:val="single" w:color="auto" w:sz="4" w:space="0"/>
              <w:left w:val="single" w:color="auto" w:sz="4" w:space="0"/>
              <w:right w:val="single" w:color="auto" w:sz="4" w:space="0"/>
            </w:tcBorders>
            <w:vAlign w:val="center"/>
          </w:tcPr>
          <w:p w14:paraId="0C3FE34B">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r>
              <w:rPr>
                <w:rFonts w:hint="eastAsia" w:ascii="仿宋" w:hAnsi="仿宋" w:cs="仿宋"/>
                <w:w w:val="90"/>
                <w:sz w:val="28"/>
                <w:szCs w:val="28"/>
                <w:lang w:val="en-US" w:eastAsia="zh-CN"/>
              </w:rPr>
              <w:t>12</w:t>
            </w:r>
            <w:bookmarkStart w:id="1" w:name="OLE_LINK7"/>
            <w:r>
              <w:rPr>
                <w:rFonts w:hint="eastAsia" w:ascii="仿宋" w:hAnsi="仿宋" w:eastAsia="仿宋" w:cs="仿宋"/>
                <w:w w:val="90"/>
                <w:sz w:val="28"/>
                <w:szCs w:val="28"/>
              </w:rPr>
              <w:t>分</w:t>
            </w:r>
            <w:bookmarkEnd w:id="1"/>
          </w:p>
        </w:tc>
        <w:tc>
          <w:tcPr>
            <w:tcW w:w="6212" w:type="dxa"/>
            <w:tcBorders>
              <w:top w:val="single" w:color="auto" w:sz="4" w:space="0"/>
              <w:left w:val="single" w:color="auto" w:sz="4" w:space="0"/>
              <w:bottom w:val="single" w:color="auto" w:sz="4" w:space="0"/>
              <w:right w:val="single" w:color="auto" w:sz="4" w:space="0"/>
            </w:tcBorders>
            <w:vAlign w:val="center"/>
          </w:tcPr>
          <w:p w14:paraId="1383628F">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val="en-US" w:eastAsia="zh-CN"/>
              </w:rPr>
              <w:t>1、</w:t>
            </w:r>
            <w:r>
              <w:rPr>
                <w:rFonts w:hint="eastAsia" w:ascii="仿宋" w:hAnsi="仿宋" w:eastAsia="仿宋" w:cs="仿宋"/>
                <w:kern w:val="0"/>
                <w:sz w:val="28"/>
                <w:szCs w:val="28"/>
                <w:highlight w:val="none"/>
              </w:rPr>
              <w:t>投标人拟派的项目负责人具有市政工程相关专业高级职称得</w:t>
            </w:r>
            <w:r>
              <w:rPr>
                <w:rFonts w:hint="eastAsia" w:ascii="仿宋" w:hAnsi="仿宋" w:cs="仿宋"/>
                <w:kern w:val="0"/>
                <w:sz w:val="28"/>
                <w:szCs w:val="28"/>
                <w:highlight w:val="none"/>
                <w:lang w:val="en-US" w:eastAsia="zh-CN"/>
              </w:rPr>
              <w:t>3</w:t>
            </w:r>
            <w:r>
              <w:rPr>
                <w:rFonts w:hint="eastAsia" w:ascii="仿宋" w:hAnsi="仿宋" w:eastAsia="仿宋" w:cs="仿宋"/>
                <w:kern w:val="0"/>
                <w:sz w:val="28"/>
                <w:szCs w:val="28"/>
                <w:highlight w:val="none"/>
              </w:rPr>
              <w:t>分（提供职称证书）</w:t>
            </w:r>
          </w:p>
          <w:p w14:paraId="299A1372">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val="en-US" w:eastAsia="zh-CN"/>
              </w:rPr>
              <w:t>2、</w:t>
            </w:r>
            <w:r>
              <w:rPr>
                <w:rFonts w:hint="eastAsia" w:ascii="仿宋" w:hAnsi="仿宋" w:eastAsia="仿宋" w:cs="仿宋"/>
                <w:kern w:val="0"/>
                <w:sz w:val="28"/>
                <w:szCs w:val="28"/>
                <w:highlight w:val="none"/>
              </w:rPr>
              <w:t>项目负责人近</w:t>
            </w:r>
            <w:r>
              <w:rPr>
                <w:rFonts w:hint="eastAsia" w:ascii="仿宋" w:hAnsi="仿宋" w:cs="仿宋"/>
                <w:kern w:val="0"/>
                <w:sz w:val="28"/>
                <w:szCs w:val="28"/>
                <w:highlight w:val="none"/>
                <w:lang w:val="en-US" w:eastAsia="zh-CN"/>
              </w:rPr>
              <w:t>三年</w:t>
            </w:r>
            <w:r>
              <w:rPr>
                <w:rFonts w:hint="eastAsia" w:ascii="仿宋" w:hAnsi="仿宋" w:eastAsia="仿宋" w:cs="仿宋"/>
                <w:kern w:val="0"/>
                <w:sz w:val="28"/>
                <w:szCs w:val="28"/>
                <w:highlight w:val="none"/>
              </w:rPr>
              <w:t>（20</w:t>
            </w:r>
            <w:r>
              <w:rPr>
                <w:rFonts w:hint="eastAsia" w:ascii="仿宋" w:hAnsi="仿宋" w:eastAsia="仿宋" w:cs="仿宋"/>
                <w:kern w:val="0"/>
                <w:sz w:val="28"/>
                <w:szCs w:val="28"/>
                <w:highlight w:val="none"/>
                <w:lang w:val="en-US"/>
              </w:rPr>
              <w:t>22</w:t>
            </w:r>
            <w:r>
              <w:rPr>
                <w:rFonts w:hint="eastAsia" w:ascii="仿宋" w:hAnsi="仿宋" w:eastAsia="仿宋" w:cs="仿宋"/>
                <w:kern w:val="0"/>
                <w:sz w:val="28"/>
                <w:szCs w:val="28"/>
                <w:highlight w:val="none"/>
              </w:rPr>
              <w:t>年</w:t>
            </w:r>
            <w:r>
              <w:rPr>
                <w:rFonts w:hint="eastAsia" w:ascii="仿宋" w:hAnsi="仿宋" w:eastAsia="仿宋" w:cs="仿宋"/>
                <w:kern w:val="0"/>
                <w:sz w:val="28"/>
                <w:szCs w:val="28"/>
                <w:highlight w:val="none"/>
                <w:lang w:val="en-US"/>
              </w:rPr>
              <w:t>3</w:t>
            </w:r>
            <w:r>
              <w:rPr>
                <w:rFonts w:hint="eastAsia" w:ascii="仿宋" w:hAnsi="仿宋" w:eastAsia="仿宋" w:cs="仿宋"/>
                <w:kern w:val="0"/>
                <w:sz w:val="28"/>
                <w:szCs w:val="28"/>
                <w:highlight w:val="none"/>
                <w:lang w:eastAsia="zh-CN"/>
              </w:rPr>
              <w:t>月</w:t>
            </w:r>
            <w:r>
              <w:rPr>
                <w:rFonts w:hint="eastAsia" w:ascii="仿宋" w:hAnsi="仿宋" w:eastAsia="仿宋" w:cs="仿宋"/>
                <w:kern w:val="0"/>
                <w:sz w:val="28"/>
                <w:szCs w:val="28"/>
                <w:highlight w:val="none"/>
                <w:lang w:val="en-US" w:eastAsia="zh-CN"/>
              </w:rPr>
              <w:t>以后</w:t>
            </w:r>
            <w:r>
              <w:rPr>
                <w:rFonts w:hint="eastAsia" w:ascii="仿宋" w:hAnsi="仿宋" w:eastAsia="仿宋" w:cs="仿宋"/>
                <w:kern w:val="0"/>
                <w:sz w:val="28"/>
                <w:szCs w:val="28"/>
                <w:highlight w:val="none"/>
              </w:rPr>
              <w:t>）完成过1项</w:t>
            </w:r>
            <w:r>
              <w:rPr>
                <w:rFonts w:hint="eastAsia" w:ascii="仿宋" w:hAnsi="仿宋" w:eastAsia="仿宋" w:cs="仿宋"/>
                <w:kern w:val="0"/>
                <w:sz w:val="28"/>
                <w:szCs w:val="28"/>
                <w:highlight w:val="none"/>
                <w:lang w:val="en-US" w:eastAsia="zh-CN"/>
              </w:rPr>
              <w:t>智慧停车</w:t>
            </w:r>
            <w:r>
              <w:rPr>
                <w:rFonts w:hint="eastAsia" w:ascii="仿宋" w:hAnsi="仿宋" w:eastAsia="仿宋" w:cs="仿宋"/>
                <w:kern w:val="0"/>
                <w:sz w:val="28"/>
                <w:szCs w:val="28"/>
                <w:highlight w:val="none"/>
              </w:rPr>
              <w:t>设计项目工作得</w:t>
            </w:r>
            <w:r>
              <w:rPr>
                <w:rFonts w:hint="eastAsia" w:ascii="仿宋" w:hAnsi="仿宋" w:cs="仿宋"/>
                <w:kern w:val="0"/>
                <w:sz w:val="28"/>
                <w:szCs w:val="28"/>
                <w:highlight w:val="none"/>
                <w:lang w:val="en-US" w:eastAsia="zh-CN"/>
              </w:rPr>
              <w:t>3</w:t>
            </w:r>
            <w:r>
              <w:rPr>
                <w:rFonts w:hint="eastAsia" w:ascii="仿宋" w:hAnsi="仿宋" w:eastAsia="仿宋" w:cs="仿宋"/>
                <w:kern w:val="0"/>
                <w:sz w:val="28"/>
                <w:szCs w:val="28"/>
                <w:highlight w:val="none"/>
              </w:rPr>
              <w:t>分，最多得</w:t>
            </w:r>
            <w:r>
              <w:rPr>
                <w:rFonts w:hint="eastAsia" w:ascii="仿宋" w:hAnsi="仿宋" w:cs="仿宋"/>
                <w:kern w:val="0"/>
                <w:sz w:val="28"/>
                <w:szCs w:val="28"/>
                <w:highlight w:val="none"/>
                <w:lang w:val="en-US" w:eastAsia="zh-CN"/>
              </w:rPr>
              <w:t>9</w:t>
            </w:r>
            <w:r>
              <w:rPr>
                <w:rFonts w:hint="eastAsia" w:ascii="仿宋" w:hAnsi="仿宋" w:eastAsia="仿宋" w:cs="仿宋"/>
                <w:kern w:val="0"/>
                <w:sz w:val="28"/>
                <w:szCs w:val="28"/>
                <w:highlight w:val="none"/>
              </w:rPr>
              <w:t>分（以签订的合同为准）。</w:t>
            </w:r>
          </w:p>
          <w:p w14:paraId="2091505C">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w w:val="90"/>
                <w:sz w:val="28"/>
                <w:szCs w:val="28"/>
              </w:rPr>
            </w:pPr>
            <w:r>
              <w:rPr>
                <w:rFonts w:hint="eastAsia" w:ascii="仿宋" w:hAnsi="仿宋" w:eastAsia="仿宋" w:cs="仿宋"/>
                <w:kern w:val="0"/>
                <w:sz w:val="28"/>
                <w:szCs w:val="28"/>
                <w:highlight w:val="none"/>
              </w:rPr>
              <w:t>（</w:t>
            </w:r>
            <w:r>
              <w:rPr>
                <w:rFonts w:hint="eastAsia" w:ascii="仿宋" w:hAnsi="仿宋" w:cs="仿宋"/>
                <w:kern w:val="0"/>
                <w:sz w:val="28"/>
                <w:szCs w:val="28"/>
                <w:highlight w:val="none"/>
                <w:lang w:val="en-US" w:eastAsia="zh-CN"/>
              </w:rPr>
              <w:t>业绩</w:t>
            </w:r>
            <w:r>
              <w:rPr>
                <w:rFonts w:hint="eastAsia" w:ascii="仿宋" w:hAnsi="仿宋" w:eastAsia="仿宋" w:cs="仿宋"/>
                <w:kern w:val="0"/>
                <w:sz w:val="28"/>
                <w:szCs w:val="28"/>
                <w:highlight w:val="none"/>
              </w:rPr>
              <w:t>需提供能体现项目负责人姓名</w:t>
            </w:r>
            <w:r>
              <w:rPr>
                <w:rFonts w:hint="eastAsia" w:ascii="仿宋" w:hAnsi="仿宋" w:cs="仿宋"/>
                <w:kern w:val="0"/>
                <w:sz w:val="28"/>
                <w:szCs w:val="28"/>
                <w:highlight w:val="none"/>
                <w:lang w:val="en-US" w:eastAsia="zh-CN"/>
              </w:rPr>
              <w:t>的</w:t>
            </w:r>
            <w:r>
              <w:rPr>
                <w:rFonts w:hint="eastAsia" w:ascii="仿宋" w:hAnsi="仿宋" w:eastAsia="仿宋" w:cs="仿宋"/>
                <w:kern w:val="0"/>
                <w:sz w:val="28"/>
                <w:szCs w:val="28"/>
                <w:highlight w:val="none"/>
              </w:rPr>
              <w:t>相关证明材料</w:t>
            </w:r>
            <w:r>
              <w:rPr>
                <w:rFonts w:hint="eastAsia" w:ascii="仿宋" w:hAnsi="仿宋" w:eastAsia="仿宋" w:cs="仿宋"/>
                <w:kern w:val="0"/>
                <w:sz w:val="28"/>
                <w:szCs w:val="28"/>
                <w:highlight w:val="none"/>
                <w:lang w:eastAsia="zh-CN"/>
              </w:rPr>
              <w:t>，</w:t>
            </w:r>
            <w:bookmarkStart w:id="2" w:name="OLE_LINK9"/>
            <w:r>
              <w:rPr>
                <w:rFonts w:hint="eastAsia" w:ascii="仿宋" w:hAnsi="仿宋" w:eastAsia="仿宋" w:cs="仿宋"/>
                <w:kern w:val="0"/>
                <w:sz w:val="28"/>
                <w:szCs w:val="28"/>
                <w:highlight w:val="none"/>
                <w:lang w:val="en-US" w:eastAsia="zh-CN"/>
              </w:rPr>
              <w:t>提供近六个月的在本单位缴纳社保证明</w:t>
            </w:r>
            <w:bookmarkEnd w:id="2"/>
            <w:r>
              <w:rPr>
                <w:rFonts w:hint="eastAsia" w:ascii="仿宋" w:hAnsi="仿宋" w:eastAsia="仿宋" w:cs="仿宋"/>
                <w:kern w:val="0"/>
                <w:sz w:val="28"/>
                <w:szCs w:val="28"/>
                <w:highlight w:val="none"/>
              </w:rPr>
              <w:t>）</w:t>
            </w:r>
          </w:p>
        </w:tc>
      </w:tr>
      <w:tr w14:paraId="0ABA0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9" w:hRule="atLeast"/>
        </w:trPr>
        <w:tc>
          <w:tcPr>
            <w:tcW w:w="1057" w:type="dxa"/>
            <w:vMerge w:val="continue"/>
            <w:tcBorders>
              <w:left w:val="single" w:color="auto" w:sz="4" w:space="0"/>
              <w:right w:val="single" w:color="auto" w:sz="4" w:space="0"/>
            </w:tcBorders>
            <w:vAlign w:val="center"/>
          </w:tcPr>
          <w:p w14:paraId="645CE8C6">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p>
        </w:tc>
        <w:tc>
          <w:tcPr>
            <w:tcW w:w="1178" w:type="dxa"/>
            <w:tcBorders>
              <w:top w:val="single" w:color="auto" w:sz="4" w:space="0"/>
              <w:left w:val="single" w:color="auto" w:sz="4" w:space="0"/>
              <w:bottom w:val="single" w:color="auto" w:sz="4" w:space="0"/>
              <w:right w:val="single" w:color="auto" w:sz="4" w:space="0"/>
            </w:tcBorders>
            <w:vAlign w:val="center"/>
          </w:tcPr>
          <w:p w14:paraId="2A00E71E">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jc w:val="center"/>
              <w:textAlignment w:val="auto"/>
              <w:outlineLvl w:val="9"/>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人员配备</w:t>
            </w:r>
          </w:p>
        </w:tc>
        <w:tc>
          <w:tcPr>
            <w:tcW w:w="753" w:type="dxa"/>
            <w:tcBorders>
              <w:top w:val="single" w:color="auto" w:sz="4" w:space="0"/>
              <w:left w:val="single" w:color="auto" w:sz="4" w:space="0"/>
              <w:bottom w:val="single" w:color="auto" w:sz="4" w:space="0"/>
              <w:right w:val="single" w:color="auto" w:sz="4" w:space="0"/>
            </w:tcBorders>
            <w:vAlign w:val="center"/>
          </w:tcPr>
          <w:p w14:paraId="7B3CF8A4">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rPr>
            </w:pPr>
            <w:r>
              <w:rPr>
                <w:rFonts w:hint="eastAsia" w:ascii="仿宋" w:hAnsi="仿宋" w:cs="仿宋"/>
                <w:kern w:val="0"/>
                <w:sz w:val="28"/>
                <w:szCs w:val="28"/>
                <w:highlight w:val="none"/>
                <w:lang w:val="en-US" w:eastAsia="zh-CN"/>
              </w:rPr>
              <w:t>6</w:t>
            </w:r>
            <w:r>
              <w:rPr>
                <w:rFonts w:hint="eastAsia" w:ascii="仿宋" w:hAnsi="仿宋" w:eastAsia="仿宋" w:cs="仿宋"/>
                <w:kern w:val="0"/>
                <w:sz w:val="28"/>
                <w:szCs w:val="28"/>
                <w:highlight w:val="none"/>
              </w:rPr>
              <w:t>分</w:t>
            </w:r>
          </w:p>
        </w:tc>
        <w:tc>
          <w:tcPr>
            <w:tcW w:w="6212" w:type="dxa"/>
            <w:tcBorders>
              <w:top w:val="single" w:color="auto" w:sz="4" w:space="0"/>
              <w:left w:val="single" w:color="auto" w:sz="4" w:space="0"/>
              <w:right w:val="single" w:color="auto" w:sz="4" w:space="0"/>
            </w:tcBorders>
            <w:vAlign w:val="center"/>
          </w:tcPr>
          <w:p w14:paraId="118F0290">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除项目负责人外，拟投入本项目团队成员，具备</w:t>
            </w:r>
            <w:r>
              <w:rPr>
                <w:rFonts w:hint="eastAsia" w:ascii="仿宋" w:hAnsi="仿宋" w:cs="仿宋"/>
                <w:kern w:val="0"/>
                <w:sz w:val="28"/>
                <w:szCs w:val="28"/>
                <w:highlight w:val="none"/>
                <w:lang w:val="en-US" w:eastAsia="zh-CN"/>
              </w:rPr>
              <w:t>中级</w:t>
            </w:r>
            <w:r>
              <w:rPr>
                <w:rFonts w:hint="eastAsia" w:ascii="仿宋" w:hAnsi="仿宋" w:eastAsia="仿宋" w:cs="仿宋"/>
                <w:kern w:val="0"/>
                <w:sz w:val="28"/>
                <w:szCs w:val="28"/>
                <w:highlight w:val="none"/>
              </w:rPr>
              <w:t>及以上职称的每增加一人得2分，最高得</w:t>
            </w:r>
            <w:r>
              <w:rPr>
                <w:rFonts w:hint="eastAsia" w:ascii="仿宋" w:hAnsi="仿宋" w:cs="仿宋"/>
                <w:kern w:val="0"/>
                <w:sz w:val="28"/>
                <w:szCs w:val="28"/>
                <w:highlight w:val="none"/>
                <w:lang w:val="en-US" w:eastAsia="zh-CN"/>
              </w:rPr>
              <w:t>6</w:t>
            </w:r>
            <w:r>
              <w:rPr>
                <w:rFonts w:hint="eastAsia" w:ascii="仿宋" w:hAnsi="仿宋" w:eastAsia="仿宋" w:cs="仿宋"/>
                <w:kern w:val="0"/>
                <w:sz w:val="28"/>
                <w:szCs w:val="28"/>
                <w:highlight w:val="none"/>
              </w:rPr>
              <w:t>分（</w:t>
            </w:r>
            <w:r>
              <w:rPr>
                <w:rFonts w:hint="eastAsia" w:ascii="仿宋" w:hAnsi="仿宋" w:eastAsia="仿宋" w:cs="仿宋"/>
                <w:kern w:val="0"/>
                <w:sz w:val="28"/>
                <w:szCs w:val="28"/>
                <w:highlight w:val="none"/>
                <w:lang w:val="en-US" w:eastAsia="zh-CN"/>
              </w:rPr>
              <w:t>提供近六个月的在本单位缴纳社保证明</w:t>
            </w:r>
            <w:r>
              <w:rPr>
                <w:rFonts w:hint="eastAsia" w:ascii="仿宋" w:hAnsi="仿宋" w:eastAsia="仿宋" w:cs="仿宋"/>
                <w:kern w:val="0"/>
                <w:sz w:val="28"/>
                <w:szCs w:val="28"/>
                <w:highlight w:val="none"/>
              </w:rPr>
              <w:t>）</w:t>
            </w:r>
          </w:p>
        </w:tc>
      </w:tr>
      <w:tr w14:paraId="7DE31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0" w:hRule="atLeast"/>
        </w:trPr>
        <w:tc>
          <w:tcPr>
            <w:tcW w:w="1057" w:type="dxa"/>
            <w:vMerge w:val="restart"/>
            <w:tcBorders>
              <w:left w:val="single" w:color="auto" w:sz="4" w:space="0"/>
              <w:right w:val="single" w:color="auto" w:sz="4" w:space="0"/>
            </w:tcBorders>
            <w:vAlign w:val="center"/>
          </w:tcPr>
          <w:p w14:paraId="674B769F">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r>
              <w:rPr>
                <w:rFonts w:hint="eastAsia" w:ascii="仿宋" w:hAnsi="仿宋" w:eastAsia="仿宋" w:cs="仿宋"/>
                <w:kern w:val="0"/>
                <w:sz w:val="28"/>
                <w:szCs w:val="28"/>
                <w:highlight w:val="none"/>
              </w:rPr>
              <w:t>技术方案</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lang w:val="en-US" w:eastAsia="zh-CN"/>
              </w:rPr>
              <w:t>30</w:t>
            </w:r>
            <w:r>
              <w:rPr>
                <w:rFonts w:hint="eastAsia" w:ascii="仿宋" w:hAnsi="仿宋" w:eastAsia="仿宋" w:cs="仿宋"/>
                <w:kern w:val="0"/>
                <w:sz w:val="28"/>
                <w:szCs w:val="28"/>
                <w:highlight w:val="none"/>
              </w:rPr>
              <w:t>分</w:t>
            </w:r>
            <w:r>
              <w:rPr>
                <w:rFonts w:hint="eastAsia" w:ascii="仿宋" w:hAnsi="仿宋" w:eastAsia="仿宋" w:cs="仿宋"/>
                <w:kern w:val="0"/>
                <w:sz w:val="28"/>
                <w:szCs w:val="28"/>
                <w:highlight w:val="none"/>
                <w:lang w:eastAsia="zh-CN"/>
              </w:rPr>
              <w:t>）</w:t>
            </w:r>
          </w:p>
        </w:tc>
        <w:tc>
          <w:tcPr>
            <w:tcW w:w="1178" w:type="dxa"/>
            <w:tcBorders>
              <w:top w:val="single" w:color="auto" w:sz="4" w:space="0"/>
              <w:left w:val="single" w:color="auto" w:sz="4" w:space="0"/>
              <w:bottom w:val="single" w:color="auto" w:sz="4" w:space="0"/>
              <w:right w:val="single" w:color="auto" w:sz="4" w:space="0"/>
            </w:tcBorders>
            <w:vAlign w:val="center"/>
          </w:tcPr>
          <w:p w14:paraId="31C40D7C">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jc w:val="center"/>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重难点分析</w:t>
            </w:r>
          </w:p>
        </w:tc>
        <w:tc>
          <w:tcPr>
            <w:tcW w:w="753" w:type="dxa"/>
            <w:tcBorders>
              <w:top w:val="single" w:color="auto" w:sz="4" w:space="0"/>
              <w:left w:val="single" w:color="auto" w:sz="4" w:space="0"/>
              <w:bottom w:val="single" w:color="auto" w:sz="4" w:space="0"/>
              <w:right w:val="single" w:color="auto" w:sz="4" w:space="0"/>
            </w:tcBorders>
            <w:vAlign w:val="center"/>
          </w:tcPr>
          <w:p w14:paraId="268269FD">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lang w:val="en-US" w:eastAsia="zh-CN"/>
              </w:rPr>
            </w:pPr>
            <w:bookmarkStart w:id="3" w:name="OLE_LINK12"/>
            <w:r>
              <w:rPr>
                <w:rFonts w:hint="eastAsia" w:ascii="仿宋" w:hAnsi="仿宋" w:eastAsia="仿宋" w:cs="仿宋"/>
                <w:kern w:val="0"/>
                <w:sz w:val="28"/>
                <w:szCs w:val="28"/>
                <w:highlight w:val="none"/>
                <w:lang w:val="en-US" w:eastAsia="zh-CN"/>
              </w:rPr>
              <w:t>6分</w:t>
            </w:r>
            <w:bookmarkEnd w:id="3"/>
          </w:p>
        </w:tc>
        <w:tc>
          <w:tcPr>
            <w:tcW w:w="6212" w:type="dxa"/>
            <w:tcBorders>
              <w:top w:val="single" w:color="auto" w:sz="4" w:space="0"/>
              <w:left w:val="single" w:color="auto" w:sz="4" w:space="0"/>
              <w:bottom w:val="single" w:color="auto" w:sz="4" w:space="0"/>
              <w:right w:val="single" w:color="auto" w:sz="4" w:space="0"/>
            </w:tcBorders>
            <w:vAlign w:val="center"/>
          </w:tcPr>
          <w:p w14:paraId="21ED83C6">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对项目设计特点、关键问题、重点、难点描述准确、到位。评委根据投标文件情况分为一般、 良、优，分别酌情得 0-1 分、2-3 分，4-6 分，若此条缺项不得分。</w:t>
            </w:r>
          </w:p>
        </w:tc>
      </w:tr>
      <w:tr w14:paraId="1FE11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5" w:hRule="atLeast"/>
        </w:trPr>
        <w:tc>
          <w:tcPr>
            <w:tcW w:w="1057" w:type="dxa"/>
            <w:vMerge w:val="continue"/>
            <w:tcBorders>
              <w:left w:val="single" w:color="auto" w:sz="4" w:space="0"/>
              <w:right w:val="single" w:color="auto" w:sz="4" w:space="0"/>
            </w:tcBorders>
            <w:vAlign w:val="center"/>
          </w:tcPr>
          <w:p w14:paraId="38AD919A">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p>
        </w:tc>
        <w:tc>
          <w:tcPr>
            <w:tcW w:w="1178" w:type="dxa"/>
            <w:tcBorders>
              <w:top w:val="single" w:color="auto" w:sz="4" w:space="0"/>
              <w:left w:val="single" w:color="auto" w:sz="4" w:space="0"/>
              <w:bottom w:val="single" w:color="auto" w:sz="4" w:space="0"/>
              <w:right w:val="single" w:color="auto" w:sz="4" w:space="0"/>
            </w:tcBorders>
            <w:vAlign w:val="center"/>
          </w:tcPr>
          <w:p w14:paraId="1F7A65DC">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jc w:val="center"/>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进度控制</w:t>
            </w:r>
          </w:p>
        </w:tc>
        <w:tc>
          <w:tcPr>
            <w:tcW w:w="753" w:type="dxa"/>
            <w:tcBorders>
              <w:top w:val="single" w:color="auto" w:sz="4" w:space="0"/>
              <w:left w:val="single" w:color="auto" w:sz="4" w:space="0"/>
              <w:bottom w:val="single" w:color="auto" w:sz="4" w:space="0"/>
              <w:right w:val="single" w:color="auto" w:sz="4" w:space="0"/>
            </w:tcBorders>
            <w:vAlign w:val="center"/>
          </w:tcPr>
          <w:p w14:paraId="75D2A80E">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lang w:val="en-US" w:eastAsia="zh-CN"/>
              </w:rPr>
            </w:pPr>
            <w:bookmarkStart w:id="4" w:name="OLE_LINK13"/>
            <w:r>
              <w:rPr>
                <w:rFonts w:hint="eastAsia" w:ascii="仿宋" w:hAnsi="仿宋" w:eastAsia="仿宋" w:cs="仿宋"/>
                <w:kern w:val="0"/>
                <w:sz w:val="28"/>
                <w:szCs w:val="28"/>
                <w:highlight w:val="none"/>
                <w:lang w:val="en-US" w:eastAsia="zh-CN"/>
              </w:rPr>
              <w:t>6分</w:t>
            </w:r>
            <w:bookmarkEnd w:id="4"/>
          </w:p>
        </w:tc>
        <w:tc>
          <w:tcPr>
            <w:tcW w:w="6212" w:type="dxa"/>
            <w:tcBorders>
              <w:top w:val="single" w:color="auto" w:sz="4" w:space="0"/>
              <w:left w:val="single" w:color="auto" w:sz="4" w:space="0"/>
              <w:bottom w:val="single" w:color="auto" w:sz="4" w:space="0"/>
              <w:right w:val="single" w:color="auto" w:sz="4" w:space="0"/>
            </w:tcBorders>
            <w:vAlign w:val="center"/>
          </w:tcPr>
          <w:p w14:paraId="1A5A4AE7">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针对本项目特点，制定的工作进度保证措施考虑周全、合理可行，能够保证高效按期完成设计服务工作。</w:t>
            </w:r>
            <w:bookmarkStart w:id="5" w:name="OLE_LINK11"/>
            <w:r>
              <w:rPr>
                <w:rFonts w:hint="eastAsia" w:ascii="仿宋" w:hAnsi="仿宋" w:eastAsia="仿宋" w:cs="仿宋"/>
                <w:kern w:val="0"/>
                <w:sz w:val="28"/>
                <w:szCs w:val="28"/>
                <w:highlight w:val="none"/>
                <w:lang w:val="en-US" w:eastAsia="zh-CN"/>
              </w:rPr>
              <w:t>评委根据投标文件情况分为一般、 良、优，分别酌情得 0-1  分、2-3 分，4-6 分，若此条缺项不得分。</w:t>
            </w:r>
            <w:bookmarkEnd w:id="5"/>
          </w:p>
        </w:tc>
      </w:tr>
      <w:tr w14:paraId="528C5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6" w:hRule="atLeast"/>
        </w:trPr>
        <w:tc>
          <w:tcPr>
            <w:tcW w:w="1057" w:type="dxa"/>
            <w:vMerge w:val="continue"/>
            <w:tcBorders>
              <w:left w:val="single" w:color="auto" w:sz="4" w:space="0"/>
              <w:right w:val="single" w:color="auto" w:sz="4" w:space="0"/>
            </w:tcBorders>
            <w:vAlign w:val="center"/>
          </w:tcPr>
          <w:p w14:paraId="1FD41E56">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p>
        </w:tc>
        <w:tc>
          <w:tcPr>
            <w:tcW w:w="1178" w:type="dxa"/>
            <w:tcBorders>
              <w:top w:val="single" w:color="auto" w:sz="4" w:space="0"/>
              <w:left w:val="single" w:color="auto" w:sz="4" w:space="0"/>
              <w:bottom w:val="single" w:color="auto" w:sz="4" w:space="0"/>
              <w:right w:val="single" w:color="auto" w:sz="4" w:space="0"/>
            </w:tcBorders>
            <w:vAlign w:val="center"/>
          </w:tcPr>
          <w:p w14:paraId="6C7AD7FF">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jc w:val="center"/>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组织协调</w:t>
            </w:r>
          </w:p>
        </w:tc>
        <w:tc>
          <w:tcPr>
            <w:tcW w:w="753" w:type="dxa"/>
            <w:tcBorders>
              <w:top w:val="single" w:color="auto" w:sz="4" w:space="0"/>
              <w:left w:val="single" w:color="auto" w:sz="4" w:space="0"/>
              <w:bottom w:val="single" w:color="auto" w:sz="4" w:space="0"/>
              <w:right w:val="single" w:color="auto" w:sz="4" w:space="0"/>
            </w:tcBorders>
            <w:vAlign w:val="center"/>
          </w:tcPr>
          <w:p w14:paraId="2505467D">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6分</w:t>
            </w:r>
          </w:p>
        </w:tc>
        <w:tc>
          <w:tcPr>
            <w:tcW w:w="6212" w:type="dxa"/>
            <w:tcBorders>
              <w:top w:val="single" w:color="auto" w:sz="4" w:space="0"/>
              <w:left w:val="single" w:color="auto" w:sz="4" w:space="0"/>
              <w:bottom w:val="single" w:color="auto" w:sz="4" w:space="0"/>
              <w:right w:val="single" w:color="auto" w:sz="4" w:space="0"/>
            </w:tcBorders>
            <w:vAlign w:val="center"/>
          </w:tcPr>
          <w:p w14:paraId="36E708DA">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在项目实施过程中，与承包人、招标人、投标人等单位之间建立一定组织协调关系，确保相互间信息沟通顺畅，评委根据投标文件情况分为一般、 良、优，</w:t>
            </w:r>
            <w:bookmarkStart w:id="6" w:name="OLE_LINK14"/>
            <w:r>
              <w:rPr>
                <w:rFonts w:hint="eastAsia" w:ascii="仿宋" w:hAnsi="仿宋" w:eastAsia="仿宋" w:cs="仿宋"/>
                <w:kern w:val="0"/>
                <w:sz w:val="28"/>
                <w:szCs w:val="28"/>
                <w:highlight w:val="none"/>
                <w:lang w:val="en-US" w:eastAsia="zh-CN"/>
              </w:rPr>
              <w:t>分别酌情得 0-1 分、2-3 分， 4-6 分，若此条缺项不得分。</w:t>
            </w:r>
            <w:bookmarkEnd w:id="6"/>
          </w:p>
        </w:tc>
      </w:tr>
      <w:tr w14:paraId="1A816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1" w:hRule="atLeast"/>
        </w:trPr>
        <w:tc>
          <w:tcPr>
            <w:tcW w:w="1057" w:type="dxa"/>
            <w:vMerge w:val="continue"/>
            <w:tcBorders>
              <w:left w:val="single" w:color="auto" w:sz="4" w:space="0"/>
              <w:right w:val="single" w:color="auto" w:sz="4" w:space="0"/>
            </w:tcBorders>
            <w:vAlign w:val="center"/>
          </w:tcPr>
          <w:p w14:paraId="60A96B00">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p>
        </w:tc>
        <w:tc>
          <w:tcPr>
            <w:tcW w:w="1178" w:type="dxa"/>
            <w:tcBorders>
              <w:top w:val="single" w:color="auto" w:sz="4" w:space="0"/>
              <w:left w:val="single" w:color="auto" w:sz="4" w:space="0"/>
              <w:bottom w:val="single" w:color="auto" w:sz="4" w:space="0"/>
              <w:right w:val="single" w:color="auto" w:sz="4" w:space="0"/>
            </w:tcBorders>
            <w:vAlign w:val="center"/>
          </w:tcPr>
          <w:p w14:paraId="0A400E48">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jc w:val="center"/>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设计方案</w:t>
            </w:r>
          </w:p>
        </w:tc>
        <w:tc>
          <w:tcPr>
            <w:tcW w:w="753" w:type="dxa"/>
            <w:tcBorders>
              <w:top w:val="single" w:color="auto" w:sz="4" w:space="0"/>
              <w:left w:val="single" w:color="auto" w:sz="4" w:space="0"/>
              <w:bottom w:val="single" w:color="auto" w:sz="4" w:space="0"/>
              <w:right w:val="single" w:color="auto" w:sz="4" w:space="0"/>
            </w:tcBorders>
            <w:vAlign w:val="center"/>
          </w:tcPr>
          <w:p w14:paraId="60913119">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6分</w:t>
            </w:r>
          </w:p>
        </w:tc>
        <w:tc>
          <w:tcPr>
            <w:tcW w:w="6212" w:type="dxa"/>
            <w:tcBorders>
              <w:top w:val="single" w:color="auto" w:sz="4" w:space="0"/>
              <w:left w:val="single" w:color="auto" w:sz="4" w:space="0"/>
              <w:bottom w:val="single" w:color="auto" w:sz="4" w:space="0"/>
              <w:right w:val="single" w:color="auto" w:sz="4" w:space="0"/>
            </w:tcBorders>
            <w:vAlign w:val="center"/>
          </w:tcPr>
          <w:p w14:paraId="68175F67">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总体设计原则、设计思路、建设规模分析清晰、完整、严谨、合理。评委根据投标文件情况分为一般、 良、优，分别酌情得 0-1 分、2-3 分， 4-6 分，若此条缺项不得分。</w:t>
            </w:r>
          </w:p>
        </w:tc>
      </w:tr>
      <w:tr w14:paraId="37D86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5" w:hRule="atLeast"/>
        </w:trPr>
        <w:tc>
          <w:tcPr>
            <w:tcW w:w="1057" w:type="dxa"/>
            <w:vMerge w:val="continue"/>
            <w:tcBorders>
              <w:left w:val="single" w:color="auto" w:sz="4" w:space="0"/>
              <w:right w:val="single" w:color="auto" w:sz="4" w:space="0"/>
            </w:tcBorders>
            <w:vAlign w:val="center"/>
          </w:tcPr>
          <w:p w14:paraId="0F071B52">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outlineLvl w:val="9"/>
              <w:rPr>
                <w:rFonts w:hint="eastAsia" w:ascii="仿宋" w:hAnsi="仿宋" w:eastAsia="仿宋" w:cs="仿宋"/>
                <w:w w:val="90"/>
                <w:sz w:val="28"/>
                <w:szCs w:val="28"/>
              </w:rPr>
            </w:pPr>
          </w:p>
        </w:tc>
        <w:tc>
          <w:tcPr>
            <w:tcW w:w="1178" w:type="dxa"/>
            <w:tcBorders>
              <w:top w:val="single" w:color="auto" w:sz="4" w:space="0"/>
              <w:left w:val="single" w:color="auto" w:sz="4" w:space="0"/>
              <w:right w:val="single" w:color="auto" w:sz="4" w:space="0"/>
            </w:tcBorders>
            <w:vAlign w:val="center"/>
          </w:tcPr>
          <w:p w14:paraId="30294FF4">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jc w:val="center"/>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合理化建议</w:t>
            </w:r>
          </w:p>
        </w:tc>
        <w:tc>
          <w:tcPr>
            <w:tcW w:w="753" w:type="dxa"/>
            <w:tcBorders>
              <w:top w:val="single" w:color="auto" w:sz="4" w:space="0"/>
              <w:left w:val="single" w:color="auto" w:sz="4" w:space="0"/>
              <w:right w:val="single" w:color="auto" w:sz="4" w:space="0"/>
            </w:tcBorders>
            <w:vAlign w:val="center"/>
          </w:tcPr>
          <w:p w14:paraId="7873DFCD">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6分</w:t>
            </w:r>
          </w:p>
        </w:tc>
        <w:tc>
          <w:tcPr>
            <w:tcW w:w="6212" w:type="dxa"/>
            <w:tcBorders>
              <w:top w:val="single" w:color="auto" w:sz="4" w:space="0"/>
              <w:left w:val="single" w:color="auto" w:sz="4" w:space="0"/>
              <w:bottom w:val="single" w:color="auto" w:sz="4" w:space="0"/>
              <w:right w:val="single" w:color="auto" w:sz="4" w:space="0"/>
            </w:tcBorders>
            <w:vAlign w:val="center"/>
          </w:tcPr>
          <w:p w14:paraId="033E16F8">
            <w:pPr>
              <w:keepNext w:val="0"/>
              <w:keepLines w:val="0"/>
              <w:pageBreakBefore w:val="0"/>
              <w:widowControl w:val="0"/>
              <w:kinsoku/>
              <w:wordWrap w:val="0"/>
              <w:overflowPunct/>
              <w:topLinePunct w:val="0"/>
              <w:autoSpaceDE w:val="0"/>
              <w:autoSpaceDN w:val="0"/>
              <w:bidi w:val="0"/>
              <w:adjustRightInd w:val="0"/>
              <w:snapToGrid w:val="0"/>
              <w:spacing w:line="400" w:lineRule="exact"/>
              <w:ind w:left="0" w:leftChars="0" w:firstLine="0" w:firstLineChars="0"/>
              <w:textAlignment w:val="auto"/>
              <w:outlineLvl w:val="9"/>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结合项目特点，能提供合理化建议，评委根据投标文件情况分为一般、 良、优，分别酌情得 0-1分、2-3 分，4-6 分，若此条缺项不得分。</w:t>
            </w:r>
          </w:p>
        </w:tc>
      </w:tr>
    </w:tbl>
    <w:p w14:paraId="49F6A93F">
      <w:pPr>
        <w:ind w:left="0" w:leftChars="0" w:firstLine="0" w:firstLineChars="0"/>
        <w:rPr>
          <w:rFonts w:hint="eastAsia" w:eastAsia="仿宋"/>
          <w:sz w:val="24"/>
          <w:szCs w:val="24"/>
          <w:lang w:eastAsia="zh-CN"/>
        </w:rPr>
      </w:pPr>
      <w:bookmarkStart w:id="7" w:name="_GoBack"/>
      <w:bookmarkEnd w:id="7"/>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文星简小标宋">
    <w:panose1 w:val="02010609000101010101"/>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1527FE">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05B9CA1E">
                          <w:pPr>
                            <w:pStyle w:val="11"/>
                            <w:ind w:firstLine="360"/>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4</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14:paraId="05B9CA1E">
                    <w:pPr>
                      <w:pStyle w:val="11"/>
                      <w:ind w:firstLine="360"/>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4</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6091F">
    <w:pPr>
      <w:pStyle w:val="12"/>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37594C"/>
    <w:rsid w:val="00410DA3"/>
    <w:rsid w:val="01401C8C"/>
    <w:rsid w:val="016E2836"/>
    <w:rsid w:val="022655A8"/>
    <w:rsid w:val="02490865"/>
    <w:rsid w:val="03263220"/>
    <w:rsid w:val="03AC27C9"/>
    <w:rsid w:val="04856648"/>
    <w:rsid w:val="04CF58A8"/>
    <w:rsid w:val="05444896"/>
    <w:rsid w:val="065D6585"/>
    <w:rsid w:val="06D8597D"/>
    <w:rsid w:val="07020ED4"/>
    <w:rsid w:val="070F2706"/>
    <w:rsid w:val="072812F2"/>
    <w:rsid w:val="073F0F42"/>
    <w:rsid w:val="08C67DB5"/>
    <w:rsid w:val="0916674C"/>
    <w:rsid w:val="092258F0"/>
    <w:rsid w:val="0C2B5DB5"/>
    <w:rsid w:val="0C5F4E1E"/>
    <w:rsid w:val="0CBE795B"/>
    <w:rsid w:val="0CCA503F"/>
    <w:rsid w:val="0D3C0E05"/>
    <w:rsid w:val="0D9D0C65"/>
    <w:rsid w:val="0E371B1B"/>
    <w:rsid w:val="0E4E1A6A"/>
    <w:rsid w:val="0F353A1A"/>
    <w:rsid w:val="11194AE2"/>
    <w:rsid w:val="124D0B52"/>
    <w:rsid w:val="127E16DE"/>
    <w:rsid w:val="128173C5"/>
    <w:rsid w:val="12D254B2"/>
    <w:rsid w:val="12D73D3B"/>
    <w:rsid w:val="1399257F"/>
    <w:rsid w:val="13C93E7F"/>
    <w:rsid w:val="145E1678"/>
    <w:rsid w:val="17B1105A"/>
    <w:rsid w:val="17C83743"/>
    <w:rsid w:val="17D46D02"/>
    <w:rsid w:val="185E5A99"/>
    <w:rsid w:val="19361BAF"/>
    <w:rsid w:val="19594D84"/>
    <w:rsid w:val="19DF7652"/>
    <w:rsid w:val="1CBB0CAE"/>
    <w:rsid w:val="1CD45111"/>
    <w:rsid w:val="1D064FC6"/>
    <w:rsid w:val="1E3517A6"/>
    <w:rsid w:val="1E4024ED"/>
    <w:rsid w:val="1E9C7958"/>
    <w:rsid w:val="1F9306FE"/>
    <w:rsid w:val="1FC13468"/>
    <w:rsid w:val="207801A3"/>
    <w:rsid w:val="212107CB"/>
    <w:rsid w:val="21611D1C"/>
    <w:rsid w:val="21854850"/>
    <w:rsid w:val="21954278"/>
    <w:rsid w:val="23897AFA"/>
    <w:rsid w:val="240A3846"/>
    <w:rsid w:val="242057A9"/>
    <w:rsid w:val="25B70DF2"/>
    <w:rsid w:val="27405471"/>
    <w:rsid w:val="27577736"/>
    <w:rsid w:val="27DE5CC6"/>
    <w:rsid w:val="28256258"/>
    <w:rsid w:val="28272A2D"/>
    <w:rsid w:val="29D94F14"/>
    <w:rsid w:val="2B766067"/>
    <w:rsid w:val="2B7F57C3"/>
    <w:rsid w:val="2BCB0DEF"/>
    <w:rsid w:val="2C645D8D"/>
    <w:rsid w:val="2CAF6A37"/>
    <w:rsid w:val="2CBA6FF2"/>
    <w:rsid w:val="2CD51B56"/>
    <w:rsid w:val="2D2D0861"/>
    <w:rsid w:val="2EB41298"/>
    <w:rsid w:val="2F08465E"/>
    <w:rsid w:val="2FCD78A8"/>
    <w:rsid w:val="2FEA01E9"/>
    <w:rsid w:val="30B00B63"/>
    <w:rsid w:val="329B7B20"/>
    <w:rsid w:val="345D7CCB"/>
    <w:rsid w:val="34A27267"/>
    <w:rsid w:val="34D86A5F"/>
    <w:rsid w:val="34FE472D"/>
    <w:rsid w:val="353D71C5"/>
    <w:rsid w:val="35467C52"/>
    <w:rsid w:val="35574416"/>
    <w:rsid w:val="355757BF"/>
    <w:rsid w:val="360F20D6"/>
    <w:rsid w:val="364C30DE"/>
    <w:rsid w:val="36DA5B4C"/>
    <w:rsid w:val="37310A43"/>
    <w:rsid w:val="374D74BF"/>
    <w:rsid w:val="37DD2B50"/>
    <w:rsid w:val="37FD27B6"/>
    <w:rsid w:val="38174C2E"/>
    <w:rsid w:val="38A225D0"/>
    <w:rsid w:val="392F3BA2"/>
    <w:rsid w:val="393B6E71"/>
    <w:rsid w:val="39DB5497"/>
    <w:rsid w:val="39F96A09"/>
    <w:rsid w:val="3BAD74F8"/>
    <w:rsid w:val="3BFF72B2"/>
    <w:rsid w:val="3C4F0307"/>
    <w:rsid w:val="3CF74A53"/>
    <w:rsid w:val="3DD90A64"/>
    <w:rsid w:val="3FC718F5"/>
    <w:rsid w:val="40BC0AF5"/>
    <w:rsid w:val="40C23EB2"/>
    <w:rsid w:val="40E71B37"/>
    <w:rsid w:val="42274565"/>
    <w:rsid w:val="425C1E19"/>
    <w:rsid w:val="43BC0B23"/>
    <w:rsid w:val="45D469B4"/>
    <w:rsid w:val="45F30F7C"/>
    <w:rsid w:val="46572996"/>
    <w:rsid w:val="467B49B9"/>
    <w:rsid w:val="473239CF"/>
    <w:rsid w:val="47584D93"/>
    <w:rsid w:val="475945D1"/>
    <w:rsid w:val="48CA45DB"/>
    <w:rsid w:val="49E27E57"/>
    <w:rsid w:val="4A540BB9"/>
    <w:rsid w:val="4A561E2D"/>
    <w:rsid w:val="4B2C42DE"/>
    <w:rsid w:val="4B69441D"/>
    <w:rsid w:val="4D50604E"/>
    <w:rsid w:val="4DB4358B"/>
    <w:rsid w:val="4E4E4558"/>
    <w:rsid w:val="4ED5190D"/>
    <w:rsid w:val="4FEA7DBD"/>
    <w:rsid w:val="506F5CE1"/>
    <w:rsid w:val="507343A4"/>
    <w:rsid w:val="50B05629"/>
    <w:rsid w:val="51F674FB"/>
    <w:rsid w:val="520F0B6D"/>
    <w:rsid w:val="527929E9"/>
    <w:rsid w:val="533C3EF0"/>
    <w:rsid w:val="53473429"/>
    <w:rsid w:val="53935335"/>
    <w:rsid w:val="53B603D5"/>
    <w:rsid w:val="54E50366"/>
    <w:rsid w:val="55485730"/>
    <w:rsid w:val="557A5E63"/>
    <w:rsid w:val="55852B70"/>
    <w:rsid w:val="57490D40"/>
    <w:rsid w:val="57754376"/>
    <w:rsid w:val="596500A8"/>
    <w:rsid w:val="59872B12"/>
    <w:rsid w:val="5B3F570A"/>
    <w:rsid w:val="5B446F51"/>
    <w:rsid w:val="5BD40B55"/>
    <w:rsid w:val="5BED6BC4"/>
    <w:rsid w:val="5C232B0C"/>
    <w:rsid w:val="5C500354"/>
    <w:rsid w:val="5C8D12D3"/>
    <w:rsid w:val="5CAF63AA"/>
    <w:rsid w:val="5CF12E02"/>
    <w:rsid w:val="5E576C42"/>
    <w:rsid w:val="5F2D7DD2"/>
    <w:rsid w:val="612229C7"/>
    <w:rsid w:val="617A457E"/>
    <w:rsid w:val="619027F9"/>
    <w:rsid w:val="620A7785"/>
    <w:rsid w:val="63F44F56"/>
    <w:rsid w:val="64367C0B"/>
    <w:rsid w:val="650F04E6"/>
    <w:rsid w:val="67FC44A4"/>
    <w:rsid w:val="68632F86"/>
    <w:rsid w:val="68E440D7"/>
    <w:rsid w:val="695F628D"/>
    <w:rsid w:val="69BC114C"/>
    <w:rsid w:val="69E20164"/>
    <w:rsid w:val="69EF6E96"/>
    <w:rsid w:val="6AA13003"/>
    <w:rsid w:val="6E0B113F"/>
    <w:rsid w:val="6EA72CE3"/>
    <w:rsid w:val="6EE57C3B"/>
    <w:rsid w:val="6F1C0E40"/>
    <w:rsid w:val="707D2F7D"/>
    <w:rsid w:val="71BB1844"/>
    <w:rsid w:val="72B91058"/>
    <w:rsid w:val="72F0144F"/>
    <w:rsid w:val="7403562E"/>
    <w:rsid w:val="74FC1BE7"/>
    <w:rsid w:val="75FB2539"/>
    <w:rsid w:val="77F549C4"/>
    <w:rsid w:val="789F2BF8"/>
    <w:rsid w:val="79547289"/>
    <w:rsid w:val="795C1FAE"/>
    <w:rsid w:val="797F32AD"/>
    <w:rsid w:val="79A63603"/>
    <w:rsid w:val="7A825509"/>
    <w:rsid w:val="7AEC579F"/>
    <w:rsid w:val="7AF94CFD"/>
    <w:rsid w:val="7B7656C9"/>
    <w:rsid w:val="7C61005E"/>
    <w:rsid w:val="7D39787B"/>
    <w:rsid w:val="7F6F2241"/>
    <w:rsid w:val="7FA33162"/>
    <w:rsid w:val="7FB35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Calibri" w:hAnsi="Calibri" w:eastAsia="仿宋"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outlineLvl w:val="0"/>
    </w:pPr>
    <w:rPr>
      <w:rFonts w:eastAsia="黑体" w:cs="仿宋_GB2312"/>
      <w:kern w:val="44"/>
      <w:sz w:val="32"/>
      <w:szCs w:val="32"/>
    </w:rPr>
  </w:style>
  <w:style w:type="paragraph" w:styleId="4">
    <w:name w:val="heading 2"/>
    <w:basedOn w:val="1"/>
    <w:next w:val="1"/>
    <w:link w:val="22"/>
    <w:semiHidden/>
    <w:unhideWhenUsed/>
    <w:qFormat/>
    <w:uiPriority w:val="0"/>
    <w:pPr>
      <w:keepNext/>
      <w:keepLines/>
      <w:spacing w:line="560" w:lineRule="exact"/>
      <w:outlineLvl w:val="1"/>
    </w:pPr>
    <w:rPr>
      <w:rFonts w:ascii="Calibri Light" w:hAnsi="Calibri Light" w:eastAsia="楷体" w:cs="Times New Roman"/>
      <w:b/>
      <w:bCs/>
      <w:szCs w:val="32"/>
    </w:rPr>
  </w:style>
  <w:style w:type="paragraph" w:styleId="5">
    <w:name w:val="heading 3"/>
    <w:basedOn w:val="1"/>
    <w:next w:val="1"/>
    <w:link w:val="23"/>
    <w:semiHidden/>
    <w:unhideWhenUsed/>
    <w:qFormat/>
    <w:uiPriority w:val="0"/>
    <w:pPr>
      <w:keepNext/>
      <w:keepLines/>
      <w:spacing w:before="140" w:beforeLines="0" w:beforeAutospacing="0" w:after="140" w:afterLines="0" w:afterAutospacing="0" w:line="240" w:lineRule="auto"/>
      <w:ind w:firstLine="1041" w:firstLineChars="200"/>
      <w:outlineLvl w:val="2"/>
    </w:pPr>
    <w:rPr>
      <w:rFonts w:asciiTheme="minorAscii" w:hAnsiTheme="minorAscii" w:eastAsiaTheme="minorEastAsia" w:cstheme="minorBidi"/>
      <w:b/>
      <w:sz w:val="32"/>
      <w:szCs w:val="22"/>
    </w:rPr>
  </w:style>
  <w:style w:type="paragraph" w:styleId="6">
    <w:name w:val="heading 4"/>
    <w:basedOn w:val="1"/>
    <w:next w:val="1"/>
    <w:link w:val="24"/>
    <w:semiHidden/>
    <w:unhideWhenUsed/>
    <w:qFormat/>
    <w:uiPriority w:val="0"/>
    <w:pPr>
      <w:keepNext/>
      <w:keepLines/>
      <w:spacing w:before="60" w:beforeAutospacing="0" w:after="60" w:afterAutospacing="0" w:line="240" w:lineRule="auto"/>
      <w:ind w:firstLine="1041" w:firstLineChars="200"/>
      <w:outlineLvl w:val="3"/>
    </w:pPr>
    <w:rPr>
      <w:rFonts w:ascii="Arial" w:hAnsi="Arial" w:eastAsia="黑体" w:cstheme="minorBidi"/>
      <w:b/>
      <w:sz w:val="28"/>
      <w:szCs w:val="22"/>
    </w:rPr>
  </w:style>
  <w:style w:type="paragraph" w:styleId="7">
    <w:name w:val="heading 5"/>
    <w:basedOn w:val="1"/>
    <w:next w:val="1"/>
    <w:semiHidden/>
    <w:unhideWhenUsed/>
    <w:qFormat/>
    <w:uiPriority w:val="0"/>
    <w:pPr>
      <w:keepNext/>
      <w:keepLines/>
      <w:spacing w:beforeLines="0" w:beforeAutospacing="0" w:afterLines="0" w:afterAutospacing="0" w:line="240" w:lineRule="auto"/>
      <w:ind w:firstLine="1041" w:firstLineChars="200"/>
      <w:outlineLvl w:val="4"/>
    </w:pPr>
    <w:rPr>
      <w:rFonts w:asciiTheme="minorAscii" w:hAnsiTheme="minorAscii" w:eastAsiaTheme="minorEastAsia" w:cstheme="minorBidi"/>
      <w:b/>
      <w:sz w:val="28"/>
      <w:szCs w:val="22"/>
    </w:rPr>
  </w:style>
  <w:style w:type="character" w:default="1" w:styleId="18">
    <w:name w:val="Default Paragraph Font"/>
    <w:unhideWhenUsed/>
    <w:qFormat/>
    <w:uiPriority w:val="1"/>
  </w:style>
  <w:style w:type="table" w:default="1" w:styleId="17">
    <w:name w:val="Normal Table"/>
    <w:semiHidden/>
    <w:qFormat/>
    <w:uiPriority w:val="0"/>
    <w:tblPr>
      <w:tblCellMar>
        <w:top w:w="0" w:type="dxa"/>
        <w:left w:w="108" w:type="dxa"/>
        <w:bottom w:w="0" w:type="dxa"/>
        <w:right w:w="108" w:type="dxa"/>
      </w:tblCellMar>
    </w:tblPr>
  </w:style>
  <w:style w:type="paragraph" w:styleId="2">
    <w:name w:val="No Spacing"/>
    <w:qFormat/>
    <w:uiPriority w:val="1"/>
    <w:pPr>
      <w:widowControl w:val="0"/>
      <w:jc w:val="both"/>
    </w:pPr>
    <w:rPr>
      <w:rFonts w:ascii="Calibri" w:hAnsi="Calibri" w:eastAsia="宋体" w:cs="Times New Roman"/>
      <w:kern w:val="2"/>
      <w:sz w:val="21"/>
      <w:szCs w:val="24"/>
      <w:lang w:val="en-US" w:eastAsia="zh-CN" w:bidi="ar-SA"/>
    </w:rPr>
  </w:style>
  <w:style w:type="paragraph" w:styleId="8">
    <w:name w:val="table of authorities"/>
    <w:basedOn w:val="1"/>
    <w:next w:val="1"/>
    <w:unhideWhenUsed/>
    <w:qFormat/>
    <w:uiPriority w:val="99"/>
    <w:pPr>
      <w:ind w:left="420" w:leftChars="200"/>
    </w:pPr>
    <w:rPr>
      <w:rFonts w:ascii="Calibri" w:hAnsi="Calibri"/>
      <w:szCs w:val="20"/>
    </w:rPr>
  </w:style>
  <w:style w:type="paragraph" w:styleId="9">
    <w:name w:val="Body Text"/>
    <w:basedOn w:val="1"/>
    <w:qFormat/>
    <w:uiPriority w:val="1"/>
    <w:rPr>
      <w:sz w:val="21"/>
      <w:szCs w:val="21"/>
    </w:rPr>
  </w:style>
  <w:style w:type="paragraph" w:styleId="10">
    <w:name w:val="Date"/>
    <w:basedOn w:val="1"/>
    <w:next w:val="1"/>
    <w:qFormat/>
    <w:uiPriority w:val="0"/>
    <w:rPr>
      <w:sz w:val="28"/>
    </w:rPr>
  </w:style>
  <w:style w:type="paragraph" w:styleId="11">
    <w:name w:val="footer"/>
    <w:basedOn w:val="1"/>
    <w:next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qFormat/>
    <w:uiPriority w:val="39"/>
    <w:pPr>
      <w:tabs>
        <w:tab w:val="right" w:leader="dot" w:pos="8296"/>
      </w:tabs>
      <w:outlineLvl w:val="0"/>
    </w:pPr>
    <w:rPr>
      <w:rFonts w:eastAsia="仿宋_GB2312"/>
      <w:b/>
      <w:sz w:val="24"/>
      <w:szCs w:val="20"/>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9"/>
    <w:unhideWhenUsed/>
    <w:qFormat/>
    <w:uiPriority w:val="99"/>
    <w:pPr>
      <w:ind w:firstLine="420" w:firstLineChars="100"/>
    </w:pPr>
  </w:style>
  <w:style w:type="paragraph" w:styleId="16">
    <w:name w:val="Body Text First Indent 2"/>
    <w:basedOn w:val="1"/>
    <w:next w:val="1"/>
    <w:qFormat/>
    <w:uiPriority w:val="0"/>
    <w:pPr>
      <w:ind w:firstLine="420" w:firstLineChars="200"/>
    </w:pPr>
  </w:style>
  <w:style w:type="character" w:styleId="19">
    <w:name w:val="page number"/>
    <w:basedOn w:val="18"/>
    <w:qFormat/>
    <w:uiPriority w:val="0"/>
  </w:style>
  <w:style w:type="character" w:styleId="20">
    <w:name w:val="FollowedHyperlink"/>
    <w:basedOn w:val="18"/>
    <w:qFormat/>
    <w:uiPriority w:val="0"/>
    <w:rPr>
      <w:color w:val="000000"/>
      <w:u w:val="none"/>
    </w:rPr>
  </w:style>
  <w:style w:type="character" w:styleId="21">
    <w:name w:val="Hyperlink"/>
    <w:basedOn w:val="18"/>
    <w:qFormat/>
    <w:uiPriority w:val="0"/>
    <w:rPr>
      <w:color w:val="000000"/>
      <w:u w:val="none"/>
    </w:rPr>
  </w:style>
  <w:style w:type="character" w:customStyle="1" w:styleId="22">
    <w:name w:val="标题 2 字符"/>
    <w:basedOn w:val="18"/>
    <w:link w:val="4"/>
    <w:qFormat/>
    <w:uiPriority w:val="9"/>
    <w:rPr>
      <w:rFonts w:eastAsia="宋体" w:cs="Times New Roman" w:asciiTheme="majorAscii" w:hAnsiTheme="majorAscii"/>
      <w:b/>
      <w:bCs/>
      <w:sz w:val="32"/>
      <w:szCs w:val="32"/>
    </w:rPr>
  </w:style>
  <w:style w:type="character" w:customStyle="1" w:styleId="23">
    <w:name w:val="标题 3 Char"/>
    <w:link w:val="5"/>
    <w:qFormat/>
    <w:uiPriority w:val="9"/>
    <w:rPr>
      <w:rFonts w:asciiTheme="minorAscii" w:hAnsiTheme="minorAscii" w:eastAsiaTheme="minorEastAsia" w:cstheme="minorBidi"/>
      <w:b/>
      <w:sz w:val="32"/>
      <w:szCs w:val="22"/>
    </w:rPr>
  </w:style>
  <w:style w:type="character" w:customStyle="1" w:styleId="24">
    <w:name w:val="标题 4 Char"/>
    <w:link w:val="6"/>
    <w:qFormat/>
    <w:uiPriority w:val="9"/>
    <w:rPr>
      <w:rFonts w:ascii="Arial" w:hAnsi="Arial" w:eastAsia="黑体" w:cstheme="minorBidi"/>
      <w:b/>
      <w:sz w:val="28"/>
      <w:szCs w:val="22"/>
    </w:rPr>
  </w:style>
  <w:style w:type="paragraph" w:styleId="2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2</Pages>
  <Words>5255</Words>
  <Characters>5590</Characters>
  <Lines>0</Lines>
  <Paragraphs>0</Paragraphs>
  <TotalTime>6</TotalTime>
  <ScaleCrop>false</ScaleCrop>
  <LinksUpToDate>false</LinksUpToDate>
  <CharactersWithSpaces>6238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要study去了</dc:creator>
  <cp:lastModifiedBy>张鑫</cp:lastModifiedBy>
  <cp:lastPrinted>2025-03-26T02:35:00Z</cp:lastPrinted>
  <dcterms:modified xsi:type="dcterms:W3CDTF">2025-04-07T07:09:35Z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ACB2F8911AA34E829D7FAB24FC146397_12</vt:lpwstr>
  </property>
  <property fmtid="{D5CDD505-2E9C-101B-9397-08002B2CF9AE}" pid="4" name="KSOTemplateDocerSaveRecord">
    <vt:lpwstr>eyJoZGlkIjoiOTA0M2Y2OGU5ZDIzZWZlMzZhYWJjZTY0MmRjNDgzOTEiLCJ1c2VySWQiOiIyMzY4ODIxNDQifQ==</vt:lpwstr>
  </property>
</Properties>
</file>